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SEMR</w:t>
      </w:r>
      <w:r>
        <w:rPr>
          <w:rFonts w:ascii="Calibri" w:hAnsi="Calibri"/>
          <w:b/>
          <w:color w:val="1A2010"/>
          <w:sz w:val="40"/>
        </w:rPr>
        <w:t xml:space="preserve">  Semrush Holdings, Inc.</w:t>
      </w:r>
    </w:p>
    <w:p>
      <w:pPr>
        <w:spacing w:after="120"/>
      </w:pPr>
      <w:r>
        <w:rPr>
          <w:rFonts w:ascii="Calibri" w:hAnsi="Calibri"/>
          <w:b/>
          <w:color w:val="6E8450"/>
          <w:sz w:val="18"/>
        </w:rPr>
        <w:t>GROWTH SLEEVE · 2026-09-12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Application Software (SEO / Digital Marketing) — Acquired by Adobe · Formerly NYSE (delisted April 28, 2026) · United States</w:t>
      </w:r>
    </w:p>
    <w:p>
      <w:pPr>
        <w:spacing w:after="80"/>
      </w:pPr>
      <w:r>
        <w:rPr>
          <w:rFonts w:ascii="Calibri" w:hAnsi="Calibri"/>
          <w:b w:val="0"/>
          <w:color w:val="3A4A28"/>
          <w:sz w:val="20"/>
        </w:rPr>
        <w:t>Semrush Holdings operated an online visibility management and content marketing SaaS platform for SEO, paid advertising, content marketing, and competitive research, serving marketers, agencies, and enterprises globally [1]. On April 28, 2026, Adobe completed its acquisition of Semrush for $12.00 per share in an all-cash transaction (~$1.9B equity value, a 77.5% premium to the pre-announcement price), and Semrush is now a wholly owned Adobe subsidiary with its NYSE listing delisted [2]. Founded 2008, headquartered in Boston, Massachusetts.</w:t>
      </w:r>
    </w:p>
    <w:p>
      <w:r>
        <w:rPr>
          <w:rFonts w:ascii="Calibri" w:hAnsi="Calibri"/>
          <w:b/>
          <w:color w:val="6E8450"/>
          <w:sz w:val="18"/>
        </w:rPr>
        <w:t>1,451 Employees · https://www.semrush.com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While competitors were still building generative tools, Semrush 'pivoted its entire backend to track visibility in Large Language Models,' effectively creating the Generative Engine Optimization (GEO) category ahead of the market — a transformative pivot that directly drove Adobe's decision to acquire rather than build in-house [3]. AI Deployment (2/2): Q4 2025 net new ARR grew 48% YoY, explicitly 'driven by AI products and enterprise adoption' — a specific, quantified AI deployment outcome [4]. Market Share (2/2): Research explicitly positions Semrush 'at the forefront of Generative Engine Optimization,' a category it helped define, with Adobe's acquisition rationale centered on acquiring that category leadership rather than competing against it [3]. Product Pipeline (0/2): No forward guidance or product roadmap was provided for 2026 because company guidance was suspended during the pending Adobe transaction [4]. R&amp;D Intensity (1/1): The speed of the GEO-first pivot, occurring before larger, better-capitalized rivals like Adobe itself, indicates above-average R&amp;D intensity and product velocity for the category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Semrush's culture is described as 'approachable, values-driven,' anchored to operating principles like 'Move together' and 'Raise the bar,' which are clear internal values but do not constitute a distinctive, service-oriented purpose statement beyond building marketing software [5]. Community Impact (0/2): No specific charitable or community investment program was identified in research. Employee Retention (0/2): Research describes 'uneven middle-layer execution amid rapid pivots' and flags a specific post-acquisition risk that 'the engineers who maintain those complex crawlers might leave' if Adobe adds bureaucracy — a negative retention signal, not a positive one [3]. Insider Buying (0/2): Research explicitly notes 'insider selling' in the run-up to the deal, stating that 'confidence is not automatic' — a negative signal, with no offsetting evidence of net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Semrush's NYSE listing was delisted on April 28, 2026 following completion of Adobe's acquisition; the stock no longer trades on any public exchange, so avg_daily_volume is effectively zero and avg_daily_volume x price ($0) is far below the $1,000,000 liquidity threshold. Per the hard rule, Infrastructure = 0 regardless of underlying fundamentals [2]. For reference, standalone FY2025 metrics were reasonably healthy pre-acquisition: revenue of $443.6M (up 18% YoY), a debt-free balance sheet ($0 total debt, $298.5M shareholder equity), but a GAAP net loss of -$18.96M (down from net income of $8.24M in 2024) driven by acquisition-related and stock-based compensation costs, yielding negative ROE (-6.35%) and profit margin (-4.27%) [4]. The security is no longer investable, making the mechanical liquidity floor the determinative factor regardless of these underlying figures.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Semrush's one genuine infinite-game credential is its existential flexibility — rebuilding its entire product around AI visibility tracking before the market or larger rivals recognized the shift. But there is no evidence of a Sinek-style Just Cause beyond building marketing software, the organization shows signs of strain under rapid pivots, and the company's story ultimately ends in being acquired rather than a demonstrated commitment to enduring independently.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evidence of a resilient, idealistic, service-oriented cause was found; internal values ('Move together,' 'Raise the bar') read as operating principles for how teams work, not a vision of a better future that the company exists to advance, and the company's trajectory culminated in a sale rather than a demonstrated multi-decade commitment to an independent mission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Research explicitly describes 'uneven middle-layer execution amid rapid pivots' and flags the specific risk that key engineers 'might leave' post-acquisition if bureaucracy increases — evidence of organizational strain rather than a high-trust environment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Semrush framing competitors (Ahrefs, Moz, or AI-native alternatives) as sources of learning or self-improvement; the company's endpoint was acquisition rather than continued independent competition.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Rebuilding 'its entire backend to track visibility in Large Language Models' while a much larger competitor (Adobe) was still focused on generative content tools is a genuinely transformative reinvention that redefined the company's value proposition and directly enabled the acquisition at a 77.5% premium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March 2025 CEO transition anchored the organization to new AI-first priorities ahead of the market, reflecting some proactive, forward-looking leadership, though the ultimate decision to sell the company rather than commit further capital to an independent long-term GEO strategy limits how much courage-to-endure can be credited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Semrush's standalone investment case is now moot: Adobe completed its $1.9B all-cash acquisition on April 28, 2026 at $12.00 per share (a 77.5% premium to the pre-deal price), and the NYSE listing has been delisted [2]. Prior to the deal, the business case was genuinely strong — FY2025 revenue of $443.6M grew 18% YoY, the company was debt-free with $269.3M in cash, and Q4 2025 net new ARR grew 48% YoY on the strength of an early, successful pivot into Generative Engine Optimization (GEO), tracking brand visibility within AI answer engines ahead of the broader market [3][4].</w:t>
      </w:r>
    </w:p>
    <w:p>
      <w:pPr>
        <w:spacing w:after="120"/>
      </w:pPr>
      <w:r>
        <w:rPr>
          <w:rFonts w:ascii="Calibri" w:hAnsi="Calibri"/>
          <w:b w:val="0"/>
          <w:color w:val="3A4A28"/>
          <w:sz w:val="20"/>
        </w:rPr>
        <w:t>There is no forward-looking bull case for SEMR as a standalone security: it is no longer listed, no longer tradeable, and has been fully absorbed into Adobe. The mechanical liquidity floor rule assigns Infrastructure a score of 0 because average daily volume is effectively zero. Even judged on its final independent-company fundamentals, the bear case was building — a GAAP net loss of -$18.96M in FY2025 (versus net income of $8.24M in 2024), net insider selling ahead of the deal, and explicit integration risk that key engineers maintaining Semrush's data crawlers could depart if Adobe adds bureaucracy, potentially eroding the data quality that made the asset valuable in the first place [3][4]. IOWN should remove SEMR from the active screening universe.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applicable — the security is delisted and fully absorbed into Adobe as of April 28, 2026</w:t>
      </w:r>
    </w:p>
    <w:p>
      <w:pPr>
        <w:spacing w:before="40" w:after="40"/>
        <w:ind w:left="283"/>
      </w:pPr>
      <w:r>
        <w:rPr>
          <w:rFonts w:ascii="Calibri" w:hAnsi="Calibri"/>
          <w:b/>
          <w:color w:val="4A6B25"/>
          <w:sz w:val="20"/>
        </w:rPr>
        <w:t xml:space="preserve">2. </w:t>
      </w:r>
      <w:r>
        <w:rPr>
          <w:rFonts w:ascii="Calibri" w:hAnsi="Calibri"/>
          <w:b w:val="0"/>
          <w:color w:val="3A4A28"/>
          <w:sz w:val="20"/>
        </w:rPr>
        <w:t>For reference only: Adobe's ability to retain Semrush's crawler/data engineering talent and integrate GEO capabilities into Adobe's broader CX Enterprise suite will determine whether the acquisition thesis is validated</w:t>
      </w:r>
    </w:p>
    <w:p>
      <w:pPr>
        <w:spacing w:before="40" w:after="40"/>
        <w:ind w:left="283"/>
      </w:pPr>
      <w:r>
        <w:rPr>
          <w:rFonts w:ascii="Calibri" w:hAnsi="Calibri"/>
          <w:b/>
          <w:color w:val="4A6B25"/>
          <w:sz w:val="20"/>
        </w:rPr>
        <w:t xml:space="preserve">3. </w:t>
      </w:r>
      <w:r>
        <w:rPr>
          <w:rFonts w:ascii="Calibri" w:hAnsi="Calibri"/>
          <w:b w:val="0"/>
          <w:color w:val="3A4A28"/>
          <w:sz w:val="20"/>
        </w:rPr>
        <w:t>For reference only: continued AI-driven ARR growth (48% YoY in the last reported quarter) within Adobe's platform would validate the strategic rationale for the deal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security is delisted and no longer investable; this report is retained for reference only and should be excluded from active portfolio consideration</w:t>
      </w:r>
    </w:p>
    <w:p>
      <w:pPr>
        <w:spacing w:before="40" w:after="40"/>
        <w:ind w:left="283"/>
      </w:pPr>
      <w:r>
        <w:rPr>
          <w:rFonts w:ascii="Calibri" w:hAnsi="Calibri"/>
          <w:b/>
          <w:color w:val="4A6B25"/>
          <w:sz w:val="20"/>
        </w:rPr>
        <w:t xml:space="preserve">2. </w:t>
      </w:r>
      <w:r>
        <w:rPr>
          <w:rFonts w:ascii="Calibri" w:hAnsi="Calibri"/>
          <w:b w:val="0"/>
          <w:color w:val="3A4A28"/>
          <w:sz w:val="20"/>
        </w:rPr>
        <w:t>Standalone fundamentals showed a GAAP net loss (-$18.96M FY2025) and negative ROE/profit margin even before accounting for the illiquidity that now applies</w:t>
      </w:r>
    </w:p>
    <w:p>
      <w:pPr>
        <w:spacing w:before="40" w:after="40"/>
        <w:ind w:left="283"/>
      </w:pPr>
      <w:r>
        <w:rPr>
          <w:rFonts w:ascii="Calibri" w:hAnsi="Calibri"/>
          <w:b/>
          <w:color w:val="4A6B25"/>
          <w:sz w:val="20"/>
        </w:rPr>
        <w:t xml:space="preserve">3. </w:t>
      </w:r>
      <w:r>
        <w:rPr>
          <w:rFonts w:ascii="Calibri" w:hAnsi="Calibri"/>
          <w:b w:val="0"/>
          <w:color w:val="3A4A28"/>
          <w:sz w:val="20"/>
        </w:rPr>
        <w:t>Integration risk flagged in research — key engineers maintaining Semrush's proprietary crawlers may depart under Adobe's larger corporate structure, risking the data-quality moat that justified the acquisition premium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Semrush's legacy SEO-tooling business was directly exposed to AI disruption — AI-powered search and chat interfaces erode the traditional search behavior that keyword-and-backlink SEO tools were built to optimize for, which is precisely why the company could not credibly remain independent and was acquired rather than continuing to compete standalone [3]. The company successfully repositioned around tracking visibility within AI answer engines (GEO), turning the threat into the basis for a 77.5%-premium acquisition, but on a standalone basis absent Adobe's distribution and AI stack, the core legacy business carried real exposure [2][3]. AI Opportunity (1/1): Explicitly AI-revenue-driven — 48% YoY net new ARR growth attributed to AI products and enterprise adoption in the company's own Q4 2025 disclosures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Adobe Completes Semrush Acquisition — news.adobe.com, April 2026</w:t>
      </w:r>
    </w:p>
    <w:p>
      <w:pPr>
        <w:spacing w:before="20" w:after="20"/>
        <w:ind w:left="170"/>
      </w:pPr>
      <w:r>
        <w:rPr>
          <w:rFonts w:ascii="Calibri" w:hAnsi="Calibri"/>
          <w:b/>
          <w:color w:val="4A6B25"/>
          <w:sz w:val="15"/>
        </w:rPr>
        <w:t xml:space="preserve">2. </w:t>
      </w:r>
      <w:r>
        <w:rPr>
          <w:rFonts w:ascii="Calibri" w:hAnsi="Calibri"/>
          <w:b w:val="0"/>
          <w:color w:val="3A4A28"/>
          <w:sz w:val="17"/>
        </w:rPr>
        <w:t>Adobe to Acquire Semrush for $1.9 Billion ($12.00/share, 77.5% premium) — CNBC, Search Engine Journal, SEC DEFM14A, November 2025</w:t>
      </w:r>
    </w:p>
    <w:p>
      <w:pPr>
        <w:spacing w:before="20" w:after="20"/>
        <w:ind w:left="170"/>
      </w:pPr>
      <w:r>
        <w:rPr>
          <w:rFonts w:ascii="Calibri" w:hAnsi="Calibri"/>
          <w:b/>
          <w:color w:val="4A6B25"/>
          <w:sz w:val="15"/>
        </w:rPr>
        <w:t xml:space="preserve">3. </w:t>
      </w:r>
      <w:r>
        <w:rPr>
          <w:rFonts w:ascii="Calibri" w:hAnsi="Calibri"/>
          <w:b w:val="0"/>
          <w:color w:val="3A4A28"/>
          <w:sz w:val="17"/>
        </w:rPr>
        <w:t>Adobe x Semrush Deal Analysis and GEO Positioning — The Pursuit of Compounding (Substack), ALM Corp, CMS Critic, 2026</w:t>
      </w:r>
    </w:p>
    <w:p>
      <w:pPr>
        <w:spacing w:before="20" w:after="20"/>
        <w:ind w:left="170"/>
      </w:pPr>
      <w:r>
        <w:rPr>
          <w:rFonts w:ascii="Calibri" w:hAnsi="Calibri"/>
          <w:b/>
          <w:color w:val="4A6B25"/>
          <w:sz w:val="15"/>
        </w:rPr>
        <w:t xml:space="preserve">4. </w:t>
      </w:r>
      <w:r>
        <w:rPr>
          <w:rFonts w:ascii="Calibri" w:hAnsi="Calibri"/>
          <w:b w:val="0"/>
          <w:color w:val="3A4A28"/>
          <w:sz w:val="17"/>
        </w:rPr>
        <w:t>Semrush Announces Fourth Quarter and Full Year 2025 Financial Results — semrush.com/news, businesswire.com, March 2026</w:t>
      </w:r>
    </w:p>
    <w:p>
      <w:pPr>
        <w:spacing w:before="20" w:after="20"/>
        <w:ind w:left="170"/>
      </w:pPr>
      <w:r>
        <w:rPr>
          <w:rFonts w:ascii="Calibri" w:hAnsi="Calibri"/>
          <w:b/>
          <w:color w:val="4A6B25"/>
          <w:sz w:val="15"/>
        </w:rPr>
        <w:t xml:space="preserve">5. </w:t>
      </w:r>
      <w:r>
        <w:rPr>
          <w:rFonts w:ascii="Calibri" w:hAnsi="Calibri"/>
          <w:b w:val="0"/>
          <w:color w:val="3A4A28"/>
          <w:sz w:val="17"/>
        </w:rPr>
        <w:t>Semrush Leadership and Culture (CEO Transition, Values) — Built In, websets.exa.ai,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