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SEM</w:t>
      </w:r>
      <w:r>
        <w:rPr>
          <w:rFonts w:ascii="Calibri" w:hAnsi="Calibri"/>
          <w:b/>
          <w:color w:val="1A2010"/>
          <w:sz w:val="40"/>
        </w:rPr>
        <w:t xml:space="preserve">  Select Medical Holdings Corporation</w:t>
      </w:r>
    </w:p>
    <w:p>
      <w:pPr>
        <w:spacing w:after="120"/>
      </w:pPr>
      <w:r>
        <w:rPr>
          <w:rFonts w:ascii="Calibri" w:hAnsi="Calibri"/>
          <w:b/>
          <w:color w:val="6E8450"/>
          <w:sz w:val="18"/>
        </w:rPr>
        <w:t>GROWTH SLEEVE · 2026-09-15 · Inspire: 20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Select Medical Holdings Corporation operated critical illness recovery hospitals, inpatient rehabilitation hospitals, and outpatient rehabilitation clinics across the United States. As of December 2025, the company operated 104 critical illness recovery hospitals in 28 states, 38 rehabilitation hospitals in 15 states, and 1,917 outpatient clinics in 39 states with over 50,000 employees. Taken private on June 30, 2026, in a $3.9 billion transaction led by co-founders Robert A. Ortenzio and Martin F. Jackson with Welsh, Carson, Anderson &amp; Stowe at $16.50 per share (18% premium). Q1 2026 revenue of $1.42B grew 5% YoY.</w:t>
      </w:r>
    </w:p>
    <w:p>
      <w:r>
        <w:rPr>
          <w:rFonts w:ascii="Calibri" w:hAnsi="Calibri"/>
          <w:b/>
          <w:color w:val="6E8450"/>
          <w:sz w:val="18"/>
        </w:rPr>
        <w:t>50,000 Employees · https://www.selectmedical.com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Select Medical steadily expanded its rehabilitation hospital footprint, with the inpatient rehabilitation hospital (IRF) division posting 14% revenue growth to $351.9M in Q1 2026 and total Q1 revenue reaching $1,421.5M (+5% YoY) [1]. However, these are incremental expansions of an existing healthcare delivery model rather than transformative product launches or business model pivots. No new service categories or care delivery innovations were introduced. AI Deployment (0/2): No evidence of AI-powered products, AI-driven clinical tools, or quantified AI-driven operational savings was found. Select Medical operates a traditional healthcare delivery model with no disclosed AI strategy [1]. Market Share (2/2): Select Medical is one of the largest operators of long-term acute care hospitals and inpatient rehabilitation facilities in the United States, with 104 critical illness recovery hospitals in 28 states, 38 rehabilitation hospitals in 15 states, and 1,917 outpatient clinics, providing significant scale in a fragmented market [1]. Product Pipeline (0/2): No specific next-generation services, facility expansion timelines, or new care delivery models were identified beyond general 2026 guidance of $5.6-5.8B revenue [1]. R&amp;D Intensity (0/1): Healthcare services company without meaningful R&amp;D spending relative to the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Select Medical's purpose centers on providing exceptional patient care in every setting — clear and specific to their healthcare role but not deeply distinctive or inspiring beyond standard healthcare industry positioning [3]. The mission connects the company's work to patient recovery and rehabilitation outcomes but is interchangeable with most healthcare providers. Community Impact (1/2): The company operates critical illness recovery and rehabilitation services that serve medically complex patient populations including traumatic brain injury, spinal cord injury, and respiratory failure patients, providing essential community healthcare infrastructure in markets across the United States [1]. Employee Retention (0/2): No specific data on employee retention, tenure, or turnover rates was found. Prior Glassdoor reviews have cited high turnover concerns in a labor-intensive healthcare environment [3]. Insider Buying (2/2): Co-founders Robert Ortenzio and Martin Jackson led the $3.9 billion going-private transaction at $16.50 per share, committing their capital (alongside WCAS) to take full ownership of the company [2]. This is the strongest possible signal of insider conviction — founders investing billions to buy the entire enterprise they built, representing an 18% premium over the unaffected share price.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at the time of the going-private transaction. Q1 2026 revenue of $1,421.5M was up 5.0% year-over-year from $1,353.2M, with full-year 2026 guidance of $5.6-5.8 billion [1]. D/E of 170% is elevated but within scoring range, scoring 0.57 [5]. ROE of 7.49% falls short of the 15% target, scoring 0.50 [5]. Forward P/E of 12.65 at the $16.50 deal price is attractive, scoring 1.0 [5]. Profit margin of 2.42% is a critical weakness reflecting healthcare labor cost pressure and thin operating margins in post-acute care, scoring 0.12 [1]. Revenue growth 5-year CAGR of approximately 4.0% (estimated from 2020-2025, adjusting for COVID-era distortion in 2021 revenues) scores 0.60 [5]. PEG ratio is excluded from calculation as the going-private transaction renders forward growth estimates inapplicable. Liquidity floor cleared at the time of trading: 2.2M avg volume times $16.51 = $36.3M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Select Medical operates with a mixed infinite/finite orientation. The founding family's 29-year commitment to post-acute care and their decision to take the company private signal genuine long-term conviction — they are choosing to play an infinite game outside the quarterly pressures of public markets. However, the company's thin margins, elevated leverage, and reported workforce challenges suggest operational execution that prioritizes financial efficiency over organizational resilience.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Select Medical's purpose of delivering exceptional patient care in post-acute settings is genuine and has been validated by 29 years of consistent execution under founding family leadership. The company has maintained its focus on critical illness recovery and rehabilitation through multiple healthcare industry cycles [3]. The decision to go private rather than sell to a strategic acquirer suggests the founders believe they can serve patients better without public market pressure [2]. However, the purpose is standard for healthcare providers and has not been the primary driver of strategic differentiation.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Available evidence suggests organizational challenges. Prior employee reviews have cited high turnover and management effectiveness concerns in a labor-intensive industry where staffing quality directly impacts patient outcomes [3]. With 45,300 employees across hundreds of facilities, maintaining consistent culture and trust is inherently challenging, and no specific data indicating exceptional trust or employee empowerment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Select Medical publicly acknowledging worthy rivals or framing competition as an opportunity for self-improvement was found in the research [1]. The post-acute care market is competitive with Encompass Health, Kindred, and other operators, but Select Medical's communications focus on operational execution and facility expansion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Select Medical has evolved from a long-term acute care hospital operator to a diversified post-acute care platform spanning critical illness recovery, inpatient rehabilitation, and 1,900+ outpatient clinics [1]. The going-private transaction itself represents strategic flexibility — choosing private ownership to pursue long-term operational improvements without quarterly earnings pressure [2]. However, the core healthcare delivery model has remained fundamentally the same for three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founding family's decision to take Select Medical private at $3.9 billion, committing their own capital alongside WCAS, demonstrates meaningful courage and long-term conviction [2]. This decision was made during a period of margin pressure (net income declining from $243M to $146M over two years) and elevated leverage, suggesting the founders believe in the company's long-term value despite near-term headwinds. However, the investigation by securities law firms into whether the $16.50 deal price adequately valued the company raises questions about whether the going-private premium was sufficient for public shareholders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Select Medical was a leading U.S. post-acute care operator with $5.45 billion in 2025 revenue and a clear expansion trajectory anchored by inpatient rehabilitation hospital development, with the IRF segment posting 14% revenue growth in Q1 2026 [1]. At its final trading price of $16.51 (11.7x forward P/E), the stock was cheaply valued for a healthcare company with predictable Medicare/Medicaid-driven revenue streams. The physical nature of rehabilitation and critical illness care provides structural protection from AI disruption, and the company's scale across approximately 100 critical illness hospitals, 35+ rehab hospitals, and 1,900+ outpatient clinics creates operational leverage. The founding family's decision to take the company private at $16.50 per share (18% premium) with WCAS backing signals insider conviction in the long-term value of the franchise [2].</w:t>
      </w:r>
    </w:p>
    <w:p>
      <w:pPr>
        <w:spacing w:after="120"/>
      </w:pPr>
      <w:r>
        <w:rPr>
          <w:rFonts w:ascii="Calibri" w:hAnsi="Calibri"/>
          <w:b w:val="0"/>
          <w:color w:val="3A4A28"/>
          <w:sz w:val="20"/>
        </w:rPr>
        <w:t>The bear case centers on margin deterioration, leverage, and the going-private dynamics. Net income declined from $243M (2023) to $146M (2025) despite revenue growth, with Q1 2026 GAAP EPS falling to $0.35 from $0.44, revealing acute margin pressure from healthcare labor inflation and reimbursement rate constraints [1]. Profit margin of just 2.42% leaves almost no buffer for operational disruptions. Total debt of $1.9 billion with an additional $1 billion in term loan borrowings contingent on the going-private transaction close creates significant financial leverage. Securities law firms including Bleichmar Fonti &amp; Auld have investigated whether the $16.50 deal price adequately values the company, and the 18% premium over the unaffected price may undercompensate minority shareholders given the founders' information advantage as insiders [2]. Select Medical's common stock ceased trading on the NYSE as of July 1, 2026, making this report a historical record rather than an actionable investment analysis.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As a now-private company, Select Medical can invest in inpatient rehabilitation expansion and operational improvements without quarterly earnings pressure, potentially accelerating the IRF growth trajectory [1][2]</w:t>
      </w:r>
    </w:p>
    <w:p>
      <w:pPr>
        <w:spacing w:before="40" w:after="40"/>
        <w:ind w:left="283"/>
      </w:pPr>
      <w:r>
        <w:rPr>
          <w:rFonts w:ascii="Calibri" w:hAnsi="Calibri"/>
          <w:b/>
          <w:color w:val="4A6B25"/>
          <w:sz w:val="20"/>
        </w:rPr>
        <w:t xml:space="preserve">2. </w:t>
      </w:r>
      <w:r>
        <w:rPr>
          <w:rFonts w:ascii="Calibri" w:hAnsi="Calibri"/>
          <w:b w:val="0"/>
          <w:color w:val="3A4A28"/>
          <w:sz w:val="20"/>
        </w:rPr>
        <w:t>Healthcare labor market normalization could restore profitability toward the $240M+ net income levels achieved in 2023, benefiting the new private ownership [1]</w:t>
      </w:r>
    </w:p>
    <w:p>
      <w:pPr>
        <w:spacing w:before="40" w:after="40"/>
        <w:ind w:left="283"/>
      </w:pPr>
      <w:r>
        <w:rPr>
          <w:rFonts w:ascii="Calibri" w:hAnsi="Calibri"/>
          <w:b/>
          <w:color w:val="4A6B25"/>
          <w:sz w:val="20"/>
        </w:rPr>
        <w:t xml:space="preserve">3. </w:t>
      </w:r>
      <w:r>
        <w:rPr>
          <w:rFonts w:ascii="Calibri" w:hAnsi="Calibri"/>
          <w:b w:val="0"/>
          <w:color w:val="3A4A28"/>
          <w:sz w:val="20"/>
        </w:rPr>
        <w:t>Aging U.S. population demographics create a structural demand tailwind for post-acute rehabilitation and critical illness recovery services over the next decade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margin compression from healthcare labor inflation and Medicare/Medicaid reimbursement constraints in a business with only 2.42% net profit margin [1]</w:t>
      </w:r>
    </w:p>
    <w:p>
      <w:pPr>
        <w:spacing w:before="40" w:after="40"/>
        <w:ind w:left="283"/>
      </w:pPr>
      <w:r>
        <w:rPr>
          <w:rFonts w:ascii="Calibri" w:hAnsi="Calibri"/>
          <w:b/>
          <w:color w:val="4A6B25"/>
          <w:sz w:val="20"/>
        </w:rPr>
        <w:t xml:space="preserve">2. </w:t>
      </w:r>
      <w:r>
        <w:rPr>
          <w:rFonts w:ascii="Calibri" w:hAnsi="Calibri"/>
          <w:b w:val="0"/>
          <w:color w:val="3A4A28"/>
          <w:sz w:val="20"/>
        </w:rPr>
        <w:t>Going-private transaction adds approximately $1 billion in additional term loan debt to an already leveraged balance sheet ($1.9B existing debt), creating significant interest expense burden under the new capital structure [2]</w:t>
      </w:r>
    </w:p>
    <w:p>
      <w:pPr>
        <w:spacing w:before="40" w:after="40"/>
        <w:ind w:left="283"/>
      </w:pPr>
      <w:r>
        <w:rPr>
          <w:rFonts w:ascii="Calibri" w:hAnsi="Calibri"/>
          <w:b/>
          <w:color w:val="4A6B25"/>
          <w:sz w:val="20"/>
        </w:rPr>
        <w:t xml:space="preserve">3. </w:t>
      </w:r>
      <w:r>
        <w:rPr>
          <w:rFonts w:ascii="Calibri" w:hAnsi="Calibri"/>
          <w:b w:val="0"/>
          <w:color w:val="3A4A28"/>
          <w:sz w:val="20"/>
        </w:rPr>
        <w:t>As a private company, Select Medical's financial performance will no longer be publicly reported, eliminating transparency for stakeholders including patients, employees, and referral partners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Select Medical's core business — operating physical hospitals and clinics where nurses, therapists, and physicians deliver hands-on rehabilitation and critical illness recovery care — is structurally immune to AI substitution [1]. Post-acute care requires physical presence, manual therapy, and complex medical judgment in regulated clinical settings. A patient recovering from a stroke requires a physical therapist guiding their movement — AI cannot substitute for this. Reimbursement is tied to Medicare/Medicaid fee schedules with extensive regulatory oversight. The aging U.S. population creates a structural demand tailwind for rehabilitation and critical illness services that AI cannot disrupt. AI tools may improve administrative efficiency and clinical documentation but cannot replace the physical delivery of care [3]. AI Opportunity (0/1): No specific AI-related revenue, AI-powered clinical products, or quantified AI-driven operational savings have been reported by Select Medical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Select Medical Holdings Q1 2026 Earnings Release — $1,421.5M revenue (+5.0% YoY), IRF segment 14% growth ($351.9M), Adjusted EBITDA $141M (-6.5% YoY), GAAP EPS $0.35, FY2026 Guidance $5.6-5.8B Revenue, April 2026</w:t>
      </w:r>
    </w:p>
    <w:p>
      <w:pPr>
        <w:spacing w:before="20" w:after="20"/>
        <w:ind w:left="170"/>
      </w:pPr>
      <w:r>
        <w:rPr>
          <w:rFonts w:ascii="Calibri" w:hAnsi="Calibri"/>
          <w:b/>
          <w:color w:val="4A6B25"/>
          <w:sz w:val="15"/>
        </w:rPr>
        <w:t xml:space="preserve">2. </w:t>
      </w:r>
      <w:r>
        <w:rPr>
          <w:rFonts w:ascii="Calibri" w:hAnsi="Calibri"/>
          <w:b w:val="0"/>
          <w:color w:val="3A4A28"/>
          <w:sz w:val="17"/>
        </w:rPr>
        <w:t>Select Medical Going-Private Transaction and Shareholder Investigation — $16.50 per share, $3.9B valuation, Ortenzio/Jackson/WCAS consortium, completed June 30, 2026</w:t>
      </w:r>
    </w:p>
    <w:p>
      <w:pPr>
        <w:spacing w:before="20" w:after="20"/>
        <w:ind w:left="170"/>
      </w:pPr>
      <w:r>
        <w:rPr>
          <w:rFonts w:ascii="Calibri" w:hAnsi="Calibri"/>
          <w:b/>
          <w:color w:val="4A6B25"/>
          <w:sz w:val="15"/>
        </w:rPr>
        <w:t xml:space="preserve">3. </w:t>
      </w:r>
      <w:r>
        <w:rPr>
          <w:rFonts w:ascii="Calibri" w:hAnsi="Calibri"/>
          <w:b w:val="0"/>
          <w:color w:val="3A4A28"/>
          <w:sz w:val="17"/>
        </w:rPr>
        <w:t>Select Medical Corporate Profile — selectmedical.com, mission statement, 104 CIRHs, 38 IRFs, 1,917 outpatient clinics, 50,000+ employees,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Bleichmar Fonti &amp; Auld LLP Investigation into Board Fiduciary Duties — PR Newswire, June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MarketScreener — SEM Key Statistics and Financial Data, last accessed prior to delisting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