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w:t>
      </w:r>
      <w:r>
        <w:rPr>
          <w:rFonts w:ascii="Calibri" w:hAnsi="Calibri"/>
          <w:b/>
          <w:color w:val="1A2010"/>
          <w:sz w:val="40"/>
        </w:rPr>
        <w:t xml:space="preserve">  Sea Limited</w:t>
      </w:r>
    </w:p>
    <w:p>
      <w:pPr>
        <w:spacing w:after="120"/>
      </w:pPr>
      <w:r>
        <w:rPr>
          <w:rFonts w:ascii="Calibri" w:hAnsi="Calibri"/>
          <w:b/>
          <w:color w:val="6E8450"/>
          <w:sz w:val="18"/>
        </w:rPr>
        <w:t>GROWTH SLEEVE · 2026-10-20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NYQ · Singapore</w:t>
      </w:r>
    </w:p>
    <w:p>
      <w:pPr>
        <w:spacing w:after="80"/>
      </w:pPr>
      <w:r>
        <w:rPr>
          <w:rFonts w:ascii="Calibri" w:hAnsi="Calibri"/>
          <w:b w:val="0"/>
          <w:color w:val="3A4A28"/>
          <w:sz w:val="20"/>
        </w:rPr>
        <w:t>Sea Limited operates as a technology platform company across Southeast Asia, Latin America, and internationally through three segments: Shopee (e-commerce), Monee/SeaMoney (digital financial services), and Garena (digital entertainment). The company reported Q2 2026 GAAP revenue of $7.8B (+48.1% YoY) with net income of $487.7M, driven by Shopee core marketplace revenue and SeaMoney lending growth. Founded in 2009 by Forrest Li and headquartered in Singapore, Sea employs approximately 102,700 people.</w:t>
      </w:r>
    </w:p>
    <w:p>
      <w:r>
        <w:rPr>
          <w:rFonts w:ascii="Calibri" w:hAnsi="Calibri"/>
          <w:b/>
          <w:color w:val="6E8450"/>
          <w:sz w:val="18"/>
        </w:rPr>
        <w:t>102,700 Employees · https://www.sea.com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Sea executed one of the most successful platform expansions in emerging markets, transforming from a single gaming company (Garena, 2009) into a dominant three-segment technology conglomerate — Shopee became the #1 e-commerce platform in Southeast Asia, SeaMoney grew to $1.2B quarterly revenue (+57.8% YoY), and Garena maintained Free Fire as one of the most downloaded mobile games globally [1][2]. AI Deployment (1/2): Sea partnered with Google in early 2026 to integrate AI across operations and established a dedicated AI investment team under the president's office led by executive Endong Zhang, deploying AI in product recommendations, seller tools, and customer service, but no standalone AI products ship with quantified revenue or cost savings [3]. Market Share (2/2): Shopee is the dominant e-commerce marketplace across Southeast Asia by GMV, with Q2 2026 GMV growing approximately 28% YoY and Q1 Shopee revenue reaching $5.1B (+45.1% YoY) [1][2]. Product Pipeline (1/2): The dedicated AI investment team scouts opportunities and SeaMoney continues geographic expansion, but no specific next-generation products have been announced with concrete timelines or revenue projections [3]. R&amp;D Intensity (0/1): Sea does not separately disclose R&amp;D spending, and an operating margin of 8.4% suggests R&amp;D intensity is below top-quartile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Sea's stated mission is to 'better the lives of consumers and small businesses with technology,' which identifies the company's purpose and beneficiaries but is largely interchangeable with any consumer technology platform — it does not articulate a distinctive vision that differentiates Sea from peers like Grab, MercadoLibre, or Alibaba [3]. Community Impact (0/2): No evidence of distinctive charitable programs, corporate foundation, or measurable community investment was found in research. Employee Retention (0/2): No voluntary turnover data, average tenure statistics, or specific evidence of mission-driven retention is publicly available for Sea's 102,700-person workforce. Insider Buying (0/2): No evidence of meaningful net insider buying by CEO Forrest Li or other executives in the last 12 months; insider transaction data was not available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Sea's financial profile combines explosive growth with a conservative balance sheet but razor-thin margins. Revenue growth of 48.1% YoY dramatically exceeds the 10% target (score 1.0), supported by a 5-year CAGR of approximately 39% from FY2020's $4.4B to FY2025's $22.9B (score 1.0, 2x weight) [1][2]. D/E of 31.6% is well below the 70% target (score 1.0), reflecting $9.1B cash against $4.1B debt. Forward P/E of 17.0 beats the 20 target (score 1.0), and PEG of 0.9 is below the 1.0 target (score 1.0, 2x weight), indicating the market prices growth attractively. ROE of 14.7% narrowly misses the 15% target (score 0.98, 2x weight). The primary weakness is profit margin of just 5.9% versus the 20% target (score 0.30), as Shopee and SeaMoney prioritize growth over margin expansion. Daily dollar volume of $380M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Sea demonstrates a mixed infinite game profile under founder-CEO Forrest Li's 17-year tenure. The company showed genuine strategic flexibility in transforming from a gaming company into a diversified technology platform and demonstrated courage investing billions through years of Shopee losses before pivoting to profitability. However, Li's recent messaging focuses heavily on competitive dominance and market cap targets rather than purpose, and the corporate mission lacks the depth and distinctiveness that characterize true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Sea's mission to 'better the lives of consumers and small businesses with technology' connects the company's work to financial inclusion and digital access in underbanked Southeast Asian markets, and strategic decisions — building SeaMoney for the unbanked, enabling millions of small merchants through Shopee — can be traced to this purpose [2][3]. However, the cause has not been tested through multi-decade consistency or leadership transitions, and Li's October 2025 memo focused primarily on competitive language ('compete relentlessly') and a $1T market cap target rather than articulating deeper purpose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Forrest Li has provided stable leadership as founder-CEO for 17 years, steering Sea through gaming, e-commerce expansion, massive losses, and a profitability pivot [3]. However, no specific voluntary turnover data, average tenure metrics, or independent evidence of organizational trust distinguishes Sea from industry norms. Li's 'compete relentlessly' directive suggests a high-pressure culture that may conflict with Sinek's Circle of Safety ideal.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Li's language in the October 2025 memo — 'compete relentlessly' and targeting specific market cap milestones — reflects a finite competitive mindset focused on winning rather than improving [3]. While the Google AI partnership shows some collaborative instinct, the company's overall competitive posture is about market share dominance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Sea evolved from a pure gaming company (Garena, founded 2009) into a diversified platform by launching Shopee (2015) and SeaMoney (2019), and executed a dramatic pivot from cash-burning growth to profitability in 2022-2023, pulling out of India, France, and Spain [2]. However, these were incremental expansions and strategic retreats rather than a transformative reinvention that abandoned the core business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 invested billions in Shopee during 2019-2022 when the platform was generating $1B+ quarterly losses, a sustained bet on long-term market position over short-term earnings that ultimately paid off [1][2]. The decision to exit India, France, and Spain — walking away from invested capital — demonstrated strategic discipline. However, the profitability pivot was also driven by market pressure and investor demands rather than purely principled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Sea Limited at $88.47 with a $54.2B market cap is executing one of the strongest growth accelerations in global technology, with Q2 2026 revenue of $7.8B (+48.1% YoY) and Q1 2026 revenue of $7.1B (+46.6% YoY) driven by Shopee e-commerce revenue growing 45.1% and SeaMoney financial services surging 57.8% to $1.2B quarterly [1][2]. The company has achieved profitability while sustaining hyper-growth, posting Q2 net income of $487.7M and Q1 net income of $438.2M, with a conservative balance sheet of $9.1B cash against $4.1B debt. At 17.0x forward earnings and a PEG of 0.9, Sea trades at a significant discount to growth peers, and the Google AI partnership positions the platform for operational efficiency gains across all three segments [3].</w:t>
      </w:r>
    </w:p>
    <w:p>
      <w:pPr>
        <w:spacing w:after="120"/>
      </w:pPr>
      <w:r>
        <w:rPr>
          <w:rFonts w:ascii="Calibri" w:hAnsi="Calibri"/>
          <w:b w:val="0"/>
          <w:color w:val="3A4A28"/>
          <w:sz w:val="20"/>
        </w:rPr>
        <w:t>The bear case centers on margin sustainability and competitive intensity. Profit margin of just 5.9% leaves minimal buffer against execution missteps, and Shopee's Southeast Asian dominance faces pressure from TikTok Shop's aggressive expansion, Lazada (Alibaba), and local competitors willing to subsidize growth [1][4]. Q2 adjusted EBITDA of $917M (down from $1.0B in Q1) suggests margin compression as the company reinvests in growth. Garena's gaming segment faces secular headwinds as Free Fire ages and AI-generated gaming content lowers barriers for competitors — bookings growth of 15.5% lags the 40.6% revenue growth rate. The $46M securities settlement over Garena and Shopee disclosures raises governance questions [4]. At 102,700 employees, the cost structure requires sustained revenue acceleration to maintain profitability, and Inspiration scored weak (2/10) due to a generic mission and absence of disclosed community-investment, retention, or insider-buying evidence.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Shopee e-commerce revenue growing 45% YoY with management reaffirming 25% full-year GMV growth guidance, driven by deepening market share dominance across Southeast Asia and Latin America [1][2]</w:t>
      </w:r>
    </w:p>
    <w:p>
      <w:pPr>
        <w:spacing w:before="40" w:after="40"/>
        <w:ind w:left="283"/>
      </w:pPr>
      <w:r>
        <w:rPr>
          <w:rFonts w:ascii="Calibri" w:hAnsi="Calibri"/>
          <w:b/>
          <w:color w:val="4A6B25"/>
          <w:sz w:val="20"/>
        </w:rPr>
        <w:t xml:space="preserve">2. </w:t>
      </w:r>
      <w:r>
        <w:rPr>
          <w:rFonts w:ascii="Calibri" w:hAnsi="Calibri"/>
          <w:b w:val="0"/>
          <w:color w:val="3A4A28"/>
          <w:sz w:val="20"/>
        </w:rPr>
        <w:t>SeaMoney financial services revenue surging 57.8% YoY to $1.2B quarterly, with digital lending and payments expanding financial inclusion across underbanked Southeast Asian markets and building a diversified revenue base [2]</w:t>
      </w:r>
    </w:p>
    <w:p>
      <w:pPr>
        <w:spacing w:before="40" w:after="40"/>
        <w:ind w:left="283"/>
      </w:pPr>
      <w:r>
        <w:rPr>
          <w:rFonts w:ascii="Calibri" w:hAnsi="Calibri"/>
          <w:b/>
          <w:color w:val="4A6B25"/>
          <w:sz w:val="20"/>
        </w:rPr>
        <w:t xml:space="preserve">3. </w:t>
      </w:r>
      <w:r>
        <w:rPr>
          <w:rFonts w:ascii="Calibri" w:hAnsi="Calibri"/>
          <w:b w:val="0"/>
          <w:color w:val="3A4A28"/>
          <w:sz w:val="20"/>
        </w:rPr>
        <w:t>Google AI partnership and dedicated AI investment team positioning Sea to deploy AI-driven efficiency improvements across all three segments, with potential to expand margins from the current 5.9% profit margin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5.9% is razor-thin for a $54B market cap company — Q2 2026 EBITDA compression from $1.0B to $917M sequentially suggests growth reinvestment may prevent meaningful margin expansion, and any revenue slowdown would rapidly erode profitability [1]</w:t>
      </w:r>
    </w:p>
    <w:p>
      <w:pPr>
        <w:spacing w:before="40" w:after="40"/>
        <w:ind w:left="283"/>
      </w:pPr>
      <w:r>
        <w:rPr>
          <w:rFonts w:ascii="Calibri" w:hAnsi="Calibri"/>
          <w:b/>
          <w:color w:val="4A6B25"/>
          <w:sz w:val="20"/>
        </w:rPr>
        <w:t xml:space="preserve">2. </w:t>
      </w:r>
      <w:r>
        <w:rPr>
          <w:rFonts w:ascii="Calibri" w:hAnsi="Calibri"/>
          <w:b w:val="0"/>
          <w:color w:val="3A4A28"/>
          <w:sz w:val="20"/>
        </w:rPr>
        <w:t>TikTok Shop's aggressive expansion into Southeast Asian e-commerce threatens Shopee's market leadership, with social commerce potentially disrupting the traditional marketplace model that drives Shopee's 45% revenue growth [2]</w:t>
      </w:r>
    </w:p>
    <w:p>
      <w:pPr>
        <w:spacing w:before="40" w:after="40"/>
        <w:ind w:left="283"/>
      </w:pPr>
      <w:r>
        <w:rPr>
          <w:rFonts w:ascii="Calibri" w:hAnsi="Calibri"/>
          <w:b/>
          <w:color w:val="4A6B25"/>
          <w:sz w:val="20"/>
        </w:rPr>
        <w:t xml:space="preserve">3. </w:t>
      </w:r>
      <w:r>
        <w:rPr>
          <w:rFonts w:ascii="Calibri" w:hAnsi="Calibri"/>
          <w:b w:val="0"/>
          <w:color w:val="3A4A28"/>
          <w:sz w:val="20"/>
        </w:rPr>
        <w:t>SeaMoney's rapidly growing loan book carries underwriting and credit-quality risk that has not been tested through a full economic cycle in emerging Southeast Asian markets, where consumer credit infrastructure is still developing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Sea's three business lines have varying AI exposure. Shopee's e-commerce marketplace requires physical logistics infrastructure, local merchant relationships, and last-mile delivery networks that AI cannot substitute — the platform benefits from AI-enhanced recommendations and seller tools but faces no core displacement risk [1][3]. SeaMoney's digital lending and payments operate in heavily regulated emerging markets with proprietary credit-scoring data, creating regulatory and data moats. Garena's gaming business faces moderate exposure as AI-generated content and AI-powered game development could lower barriers to entry in mobile gaming, though Free Fire's social gaming ecosystem provides some defensibility. Overall, the core e-commerce and fintech businesses are protected, but gaming faces meaningful AI-driven competitive pressure. AI Opportunity (0/1): Sea has deployed AI internally for recommendations, seller tools, and customer service, and established a Google partnership and dedicated AI investment team, but no quantifiable AI-specific revenue stream has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Sea Limited Q2 2026 Earnings — Revenue $7.8B (+48.1% YoY), Net Income $487.7M, Adj. EBITDA $917.2M, Shopee GMV +28% — Quartr,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Sea Limited Q1 2026 Earnings — Revenue $7.1B (+46.6% YoY), Shopee $5.1B (+45.1%), Monee $1.2B (+57.8%), Garena $696.6M (+40.6%) — TipRanks, May 2026</w:t>
      </w:r>
    </w:p>
    <w:p>
      <w:pPr>
        <w:spacing w:before="20" w:after="20"/>
        <w:ind w:left="170"/>
      </w:pPr>
      <w:r>
        <w:rPr>
          <w:rFonts w:ascii="Calibri" w:hAnsi="Calibri"/>
          <w:b/>
          <w:color w:val="4A6B25"/>
          <w:sz w:val="15"/>
        </w:rPr>
        <w:t xml:space="preserve">3. </w:t>
      </w:r>
      <w:r>
        <w:rPr>
          <w:rFonts w:ascii="Calibri" w:hAnsi="Calibri"/>
          <w:b w:val="0"/>
          <w:color w:val="3A4A28"/>
          <w:sz w:val="17"/>
        </w:rPr>
        <w:t>CEO Forrest Li AI Vision and Leadership — $1T Market Cap Memo, Google AI Partnership, Dedicated AI Investment Team — Bloomberg, iTiger, The Edge, October 2025–May 2026</w:t>
      </w:r>
    </w:p>
    <w:p>
      <w:pPr>
        <w:spacing w:before="20" w:after="20"/>
        <w:ind w:left="170"/>
      </w:pPr>
      <w:r>
        <w:rPr>
          <w:rFonts w:ascii="Calibri" w:hAnsi="Calibri"/>
          <w:b/>
          <w:color w:val="4A6B25"/>
          <w:sz w:val="15"/>
        </w:rPr>
        <w:t xml:space="preserve">4. </w:t>
      </w:r>
      <w:r>
        <w:rPr>
          <w:rFonts w:ascii="Calibri" w:hAnsi="Calibri"/>
          <w:b w:val="0"/>
          <w:color w:val="3A4A28"/>
          <w:sz w:val="17"/>
        </w:rPr>
        <w:t>Sea Limited Governance and ESG — $46M Securities Settlement (Garena/Shopee Disclosures), Sustainalytics 24.1 Medium ESG Risk — Simply Wall St, Bloomberg Law,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