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SFL</w:t>
      </w:r>
      <w:r>
        <w:rPr>
          <w:rFonts w:ascii="Calibri" w:hAnsi="Calibri"/>
          <w:b/>
          <w:color w:val="1A2010"/>
          <w:sz w:val="40"/>
        </w:rPr>
        <w:t xml:space="preserve">  SFL Corporation Ltd.</w:t>
      </w:r>
    </w:p>
    <w:p>
      <w:pPr>
        <w:spacing w:after="120"/>
      </w:pPr>
      <w:r>
        <w:rPr>
          <w:rFonts w:ascii="Calibri" w:hAnsi="Calibri"/>
          <w:b/>
          <w:color w:val="6E8450"/>
          <w:sz w:val="18"/>
        </w:rPr>
        <w:t>DIVIDEND SLEEVE · 2026-09-18 · Inspire: 48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NYSE · Bermuda</w:t>
      </w:r>
    </w:p>
    <w:p>
      <w:pPr>
        <w:spacing w:after="80"/>
      </w:pPr>
      <w:r>
        <w:rPr>
          <w:rFonts w:ascii="Calibri" w:hAnsi="Calibri"/>
          <w:b w:val="0"/>
          <w:color w:val="3A4A28"/>
          <w:sz w:val="20"/>
        </w:rPr>
        <w:t>SFL Corporation is a maritime and offshore asset owning and chartering company that owns and operates a diversified fleet including 17 tankers, 21 container vessels, 7 car carriers, 2 dry bulk carriers, and 2 drilling rigs. The company charters vessels on medium and long-term contracts across oil transportation, dry bulk, containers, car transportation, and offshore drilling. Formerly Ship Finance International, SFL rebranded in 2019 and is incorporated in Bermuda with only 24 corporate employees. Q2 2026 revenue reached $201M with net income of $34M ($0.25/share), driven by Suezmax spot rates surging to $133,000/day. Charter backlog stands at $3.8B with ~65% from investment-grade counterparties. Market cap is approximately $1.9B.</w:t>
      </w:r>
    </w:p>
    <w:p>
      <w:r>
        <w:rPr>
          <w:rFonts w:ascii="Calibri" w:hAnsi="Calibri"/>
          <w:b/>
          <w:color w:val="6E8450"/>
          <w:sz w:val="18"/>
        </w:rPr>
        <w:t>24 Employees · https://www.sflcorp.com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SFL has gradually diversified its fleet from a tanker-focused portfolio (as Ship Finance International) to a multi-asset maritime platform spanning tankers, containers, car carriers, dry bulk, and drilling rigs, adding new car carrier contracts in 2026 that contributed to Q2 revenue growth [1]. However, this is portfolio diversification within the same asset class, not product innovation or business model transformation. AI Deployment (0/2): No AI deployment or strategy is evident in SFL's operations. The company acknowledged AI-related risks in SEC filings but has no AI-powered products or quantified AI-driven efficiency gains [2]. Market Share (0/2): SFL is a mid-sized maritime asset owner competing with larger peers (Frontline, Hafnia, Euronav) without dominant market share in any vessel category. The company competes primarily on charter structure and counterparty quality rather than scale. Product Pipeline (0/2): The $3.8B charter backlog provides revenue visibility but represents contracted charters on existing vessel types, not next-generation products or technology-enabled offerings. R&amp;D Intensity (0/1): As a maritime asset owner with 24 employees, SFL conducts no meaningful R&amp;D and does not disclose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SFL's purpose is functional — owning and chartering maritime assets to generate returns for shareholders. The company's website describes its business activities but does not articulate a mission, vision, or purpose beyond asset ownership and dividend distribution. This is a generic holding company purpose interchangeable with any maritime lessor [3]. Community Impact (0/2): No evidence of charitable programs, community investment, or foundation activity was identified. With only 24 corporate employees and Bermuda incorporation, SFL operates as a financial vehicle rather than a community-embedded enterprise. Employee Retention (0/2): With only 24 employees, meaningful retention analysis is not possible. Vessel crews are employed by third-party managers, not SFL directly. CEO Ole Hjertaker's 16+ year tenure since 2009 provides leadership stability but reflects individual commitment, not organizational culture [2].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SFL's primary strength is its long dividend payment history (22+ consecutive years) scored at 2x weight, and reasonable Forward P/E of 21.6x near the 20x target [1]. However, significant drags include D/E of 230.3% (well above the 70% target, reflecting the asset-heavy vessel financing model), ROE of 6.2% (well below 15% target), profit margin of 9.0% (below 20% target), and a payout ratio exceeding 100% on trailing GAAP earnings ($0.24 EPS vs $0.88 dividend) due to heavy depreciation charges [1]. Revenue growth YoY of 2.7% is modest, and the 3-year revenue CAGR of ~3.1% (2022-2025) is well below the 10% target. Dividend growth has been inconsistent — cut from $2.29/share in 2008 to $0.63 in 2021 before recovering to ~$1.08 annualized — yielding a low 5yr CAGR of ~1.5%. The stock clears the liquidity floor at ~$20.1M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SFL Corporation operates as a financial vehicle for maritime asset ownership, optimizing for dividend distribution and charter contract economics rather than advancing a purpose that transcends quarterly returns. The company's 24-employee corporate structure, Bermuda incorporation, and asset-leasing business model are designed for capital efficiency, not enduring mission-driven leadership. While CEO Ole Hjertaker's 16+ year tenure provides stability, the company lacks a Just Cause, has shown limited strategic flexibility beyond fleet diversification, and does not articulate a vision of the future that inspires beyond financial returns.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SFL exists to own maritime assets and distribute dividends. There is no articulated vision of a better future, no purpose beyond capital allocation, and no cause that inspires sacrifice or long-term commitment. The company's communications focus exclusively on fleet composition, charter rates, backlog quality, and dividend payments [1]. This is a pure finite player — the game is maximizing returns per vessel.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Ole Hjertaker has led SFL since 2009 (16+ years), providing exceptional leadership continuity. The management team has average tenure of 6.9 years, suggesting stability [2]. However, with only 24 employees and vessel operations outsourced to third-party managers, there is insufficient organizational depth to evaluate team trust, empowerment, or cultural practices. The tiny corporate team likely functions as a close-knit financial operation.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commentary acknowledging competitors' strengths or using competitive dynamics for self-improvement. SFL's competitive positioning is based on charter structure, counterparty credit quality, and fleet diversification rather than a mindset of learning from rivals like Frontline, Euronav, or other maritime lessors.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SFL has evolved incrementally — rebranding from Ship Finance International (tanker-focused) to SFL Corporation (diversified fleet) and expanding into containers, car carriers, and offshore drilling rigs [1]. The recent addition of car carrier contracts diversified revenue sources. However, these are adjacent market extensions within the same asset-leasing model, not transformative strategic pivots. The core business model of owning and chartering maritime assets has remained unchanged since incorporation in 2003.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earnings for long-term capability. SFL's dividend was cut during the 2020 downturn (from $1.40 to $1.00 in 2020, then $0.63 in 2021), which is understandable but reflects prioritizing financial survival over maintaining commitments to shareholders [1]. Capital allocation decisions appear driven by market opportunism (Suezmax spot rates surging to $133,000/day in Q2 2026) rather than by a long-term strategic vision that persists through adversity.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SFL Corporation offers a 6.5% dividend yield supported by a $3.8B charter backlog (~65% from investment-grade counterparties), providing multi-year revenue visibility in an otherwise cyclical maritime sector [1]. Q2 2026 showed significant momentum with revenue surging to $201M from $174.5M in Q1, driven by Suezmax spot TCE increasing to $133,000/day from $54,000/day. Net income of $34M ($0.25/share) in Q2 represents a meaningful improvement, and adjusted EBITDA of $130M (+20% QoQ) demonstrates the operating leverage inherent in the asset-heavy model. Full-year 2026 revenue is forecast at $666.5M with $742.5M expected for 2027. The Inspire Impact Score of 48 (ALIGNED) with zero negative attributions is noteworthy for a shipping company, suggesting responsible operational practices.</w:t>
      </w:r>
    </w:p>
    <w:p>
      <w:pPr>
        <w:spacing w:after="120"/>
      </w:pPr>
      <w:r>
        <w:rPr>
          <w:rFonts w:ascii="Calibri" w:hAnsi="Calibri"/>
          <w:b w:val="0"/>
          <w:color w:val="3A4A28"/>
          <w:sz w:val="20"/>
        </w:rPr>
        <w:t>The bear case is substantial. SFL's trailing P/E of 57.3x reflects depressed GAAP earnings of just $0.24/share, while the $0.88 annual dividend represents a payout ratio exceeding 360% of trailing earnings — funded from cash flow that includes depreciation, not sustainable earnings [1]. D/E of 230% reflects the asset-heavy model's dependence on debt financing for vessel acquisitions. Revenue declined 19% from $891.6M (2024) to $718.8M (2025) before the current partial recovery, highlighting extreme cyclicality. The company has no innovation capability (score 1/10), no meaningful purpose beyond dividend distribution (inspiration 1/10), and only 24 employees — it is a financial vehicle, not an operating business. The dividend has been cut multiple times (2009, 2014, 2020-2021), offering no consistency for income investors seeking reliability. ROE of 6.2% and profit margin of 9.0% are well below quality thresholds, and the 5-year dividend growth CAGR of ~1.5% fails to keep pace with inflation. Maritime shipping is inherently cyclical, and the Q2 2026 Suezmax spot rate surge ($133,000/day) is unsustainable — rates will revert, and earnings will follow.</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Suezmax spot TCE rates surged to $133,000/day in Q2 2026 from $54,000/day in Q1, driving revenue to $201M and EBITDA to $130M (+20% QoQ) — if elevated rates persist through H2 2026, earnings could meaningfully exceed consensus [1]</w:t>
      </w:r>
    </w:p>
    <w:p>
      <w:pPr>
        <w:spacing w:before="40" w:after="40"/>
        <w:ind w:left="283"/>
      </w:pPr>
      <w:r>
        <w:rPr>
          <w:rFonts w:ascii="Calibri" w:hAnsi="Calibri"/>
          <w:b/>
          <w:color w:val="4A6B25"/>
          <w:sz w:val="20"/>
        </w:rPr>
        <w:t xml:space="preserve">2. </w:t>
      </w:r>
      <w:r>
        <w:rPr>
          <w:rFonts w:ascii="Calibri" w:hAnsi="Calibri"/>
          <w:b w:val="0"/>
          <w:color w:val="3A4A28"/>
          <w:sz w:val="20"/>
        </w:rPr>
        <w:t>$3.8B charter backlog with ~65% from investment-grade counterparties provides multi-year revenue floor, insulating base case earnings even if spot rates decline [1]</w:t>
      </w:r>
    </w:p>
    <w:p>
      <w:pPr>
        <w:spacing w:before="40" w:after="40"/>
        <w:ind w:left="283"/>
      </w:pPr>
      <w:r>
        <w:rPr>
          <w:rFonts w:ascii="Calibri" w:hAnsi="Calibri"/>
          <w:b/>
          <w:color w:val="4A6B25"/>
          <w:sz w:val="20"/>
        </w:rPr>
        <w:t xml:space="preserve">3. </w:t>
      </w:r>
      <w:r>
        <w:rPr>
          <w:rFonts w:ascii="Calibri" w:hAnsi="Calibri"/>
          <w:b w:val="0"/>
          <w:color w:val="3A4A28"/>
          <w:sz w:val="20"/>
        </w:rPr>
        <w:t>New car carrier contracts expanding the fleet into a structurally growing segment driven by global auto trade and electric vehicle exports from China and South Korea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exceeding 360% on trailing GAAP earnings ($0.24 EPS vs $0.88 dividend) signals the dividend is funded from cash flow including depreciation, not sustainable earnings — any further decline in charter rates could force another dividend cut as occurred in 2009, 2014, and 2020-2021 [1]</w:t>
      </w:r>
    </w:p>
    <w:p>
      <w:pPr>
        <w:spacing w:before="40" w:after="40"/>
        <w:ind w:left="283"/>
      </w:pPr>
      <w:r>
        <w:rPr>
          <w:rFonts w:ascii="Calibri" w:hAnsi="Calibri"/>
          <w:b/>
          <w:color w:val="4A6B25"/>
          <w:sz w:val="20"/>
        </w:rPr>
        <w:t xml:space="preserve">2. </w:t>
      </w:r>
      <w:r>
        <w:rPr>
          <w:rFonts w:ascii="Calibri" w:hAnsi="Calibri"/>
          <w:b w:val="0"/>
          <w:color w:val="3A4A28"/>
          <w:sz w:val="20"/>
        </w:rPr>
        <w:t>D/E of 230% creates significant financial leverage risk in a cyclical industry — rising interest rates or declining asset values could pressure the balance sheet, and vessel refinancing in weak markets could dilute equity or force asset sales at unfavorable prices</w:t>
      </w:r>
    </w:p>
    <w:p>
      <w:pPr>
        <w:spacing w:before="40" w:after="40"/>
        <w:ind w:left="283"/>
      </w:pPr>
      <w:r>
        <w:rPr>
          <w:rFonts w:ascii="Calibri" w:hAnsi="Calibri"/>
          <w:b/>
          <w:color w:val="4A6B25"/>
          <w:sz w:val="20"/>
        </w:rPr>
        <w:t xml:space="preserve">3. </w:t>
      </w:r>
      <w:r>
        <w:rPr>
          <w:rFonts w:ascii="Calibri" w:hAnsi="Calibri"/>
          <w:b w:val="0"/>
          <w:color w:val="3A4A28"/>
          <w:sz w:val="20"/>
        </w:rPr>
        <w:t>Revenue declined 19% from $891.6M (2024) to $718.8M (2025), demonstrating the extreme cyclicality of maritime shipping — the Q2 2026 rate surge is likely temporary, and mean reversion in Suezmax and container rates would compress earnings significantly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SFL's core business — owning and chartering physical maritime assets (tankers, container ships, car carriers, drilling rigs) — is structurally immune to AI disruption. Global trade requires physical vessels to transport oil, consumer goods, automobiles, and dry bulk commodities; AI cannot substitute for ship-based transportation [1]. Charter contracts are negotiated between sophisticated counterparties based on vessel specifications, market rates, and credit quality — processes that AI may optimize at the margin but cannot displace. The offshore drilling segment similarly requires physical rigs that AI cannot replicate. No analysts have flagged AI as a substitution risk for maritime shipping. AI Opportunity (0/1): SFL generates no AI-related revenue. The company has 24 employees and operates as a financial vehicle for maritime asset ownership. While AI may eventually optimize route planning, fuel efficiency, or predictive maintenance for vessel operators, SFL charters vessels to third-party operators and would not directly capture these benefits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SFL Corporation Q2 2026 Earnings — Revenue $201M, Net Income $34M ($0.25/share), EBITDA $130M (+20% QoQ), Suezmax TCE $133,000/day, Charter Backlog $3.8B, August 2026</w:t>
      </w:r>
    </w:p>
    <w:p>
      <w:pPr>
        <w:spacing w:before="20" w:after="20"/>
        <w:ind w:left="170"/>
      </w:pPr>
      <w:r>
        <w:rPr>
          <w:rFonts w:ascii="Calibri" w:hAnsi="Calibri"/>
          <w:b/>
          <w:color w:val="4A6B25"/>
          <w:sz w:val="15"/>
        </w:rPr>
        <w:t xml:space="preserve">2. </w:t>
      </w:r>
      <w:r>
        <w:rPr>
          <w:rFonts w:ascii="Calibri" w:hAnsi="Calibri"/>
          <w:b w:val="0"/>
          <w:color w:val="3A4A28"/>
          <w:sz w:val="17"/>
        </w:rPr>
        <w:t>SFL Corporation Leadership and AI Risk — CEO Ole Hjertaker (since 2009), 24 Employees, AI Risk Acknowledgment in SEC Filings, Simply Wall St and SEC Form 6-K, 2026</w:t>
      </w:r>
    </w:p>
    <w:p>
      <w:pPr>
        <w:spacing w:before="20" w:after="20"/>
        <w:ind w:left="170"/>
      </w:pPr>
      <w:r>
        <w:rPr>
          <w:rFonts w:ascii="Calibri" w:hAnsi="Calibri"/>
          <w:b/>
          <w:color w:val="4A6B25"/>
          <w:sz w:val="15"/>
        </w:rPr>
        <w:t xml:space="preserve">3. </w:t>
      </w:r>
      <w:r>
        <w:rPr>
          <w:rFonts w:ascii="Calibri" w:hAnsi="Calibri"/>
          <w:b w:val="0"/>
          <w:color w:val="3A4A28"/>
          <w:sz w:val="17"/>
        </w:rPr>
        <w:t>SFL Corporation ESG Framework — SASB Marine Transportation Standard, UN Global Compact Principles, GRI 3 Materiality Analysis, sflcorp.com,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