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SFNC</w:t>
      </w:r>
      <w:r>
        <w:rPr>
          <w:rFonts w:ascii="Calibri" w:hAnsi="Calibri"/>
          <w:b/>
          <w:color w:val="1A2010"/>
          <w:sz w:val="40"/>
        </w:rPr>
        <w:t xml:space="preserve">  Simmons First National Corporation</w:t>
      </w:r>
    </w:p>
    <w:p>
      <w:pPr>
        <w:spacing w:after="120"/>
      </w:pPr>
      <w:r>
        <w:rPr>
          <w:rFonts w:ascii="Calibri" w:hAnsi="Calibri"/>
          <w:b/>
          <w:color w:val="6E8450"/>
          <w:sz w:val="18"/>
        </w:rPr>
        <w:t>DIVIDEND SLEEVE · 2026-09-26 · Inspire: 54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Banks - Regional · NASDAQ · United States</w:t>
      </w:r>
    </w:p>
    <w:p>
      <w:pPr>
        <w:spacing w:after="80"/>
      </w:pPr>
      <w:r>
        <w:rPr>
          <w:rFonts w:ascii="Calibri" w:hAnsi="Calibri"/>
          <w:b w:val="0"/>
          <w:color w:val="3A4A28"/>
          <w:sz w:val="20"/>
        </w:rPr>
        <w:t>Simmons First National Corporation is a Mid-South bank holding company headquartered in Pine Bluff, Arkansas, operating Simmons Bank across Arkansas, Kansas, Missouri, Oklahoma, Tennessee, and Texas. The company offers commercial and consumer banking, mortgage, trust, and wealth-management services through roughly 2,900 employees. Simmons has paid a cash dividend for 117 consecutive years and increased it in 2026 for the 15th consecutive year, even after absorbing a large one-time Q3 FY2025 charge that produced a rare quarterly net loss; Q2 2026 revenue grew 16.4% YoY to $245.6M.</w:t>
      </w:r>
    </w:p>
    <w:p>
      <w:r>
        <w:rPr>
          <w:rFonts w:ascii="Calibri" w:hAnsi="Calibri"/>
          <w:b/>
          <w:color w:val="6E8450"/>
          <w:sz w:val="18"/>
        </w:rPr>
        <w:t>2,909 Employees · https://www.simmonsbank.com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Simmons has expanded from a single Arkansas community bank into a multi-state regional institution across six mid-South states through a decade of bank acquisitions, and Q4 2025 featured record loan production, but this is serial roll-up growth rather than a transformative product launch or business-model shift [1]. AI Deployment (1/2): Simmons Bank has invested in cloud applications and AI-driven platforms in partnership with Workday and Jack Henry &amp; Associates to optimize efficiency, but no customer-facing AI product or specific quantified savings figure has been disclosed [2]. Market Share (1/2): Simmons holds a meaningful but not category-leading position across Arkansas, Kansas, Missouri, Oklahoma, Tennessee, and Texas, competing against larger regional and national banks with no data showing outsized share gains. Product Pipeline (0/2): No next-generation digital banking product has been announced with a specific launch timeline or revenue visibility. R&amp;D Intensity (0/1): As a traditional regional bank, technology spending is not disclosed separately and appears at or below industry norms.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Simmons Bank's stated purpose of 'building value for customers, communities, and shareholders' with 'integrity and passion' is standard community-banking language, interchangeable with virtually any regional bank's mission statement [2]. Community Impact (0/2): No specific charitable dollar figures, foundation programs, or measurable community-investment data were identified beyond generic ESG commitments. Employee Retention (0/2): No specific tenure or voluntary-turnover data is publicly available; the CEO succession from George Makris to Jay Brogdon effective January 2026 was announced years in advance, which suggests organizational stability but is not itself retention evidence [2]. Insider Buying (0/2): No evidence of meaningful open-market insider buying by CEO Brogdon or other executives was identified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D/E of 39.2% (total debt of $1.37B against roughly $3.48B in book equity) scores a perfect 1.0, well inside the 70% target [4]. Revenue grew 16.4% YoY to $245.6M in Q2 2026 versus $211.0M in Q2 2025, and Forward P/E of 10.1x is deeply discounted below the 20x target [1][4]. ROE of -9.9% and profit margin of roughly -218% both floor at 0.0 -- both figures are mechanically dragged down by a single anomalous Q3 FY2025 quarter in which Simmons recorded a $562.8M net loss on -$572.7M of GAAP revenue, consistent with a large securities-portfolio repositioning and/or merger-related credit-loss provision; every surrounding quarter was solidly profitable ($54.8M-$78.1M in net income) [1][4]. The dividend profile anchors the score: 117 consecutive years of dividend payments (2x weight, capped at 1.0), 2026 marks the 15th consecutive year of dividend increases (1.0), and an estimated payout ratio of roughly 37% on forward earnings scores 1.0. The estimated 5-year dividend growth CAGR of approximately 5% scores 0.83 (2x weight), and the 5-year revenue CAGR of roughly 3% -- reflecting a period of net interest margin compression across the regional banking sector before the current re-acceleration -- scores 0.53. Daily dollar volume of roughly $32.6M provides ample liquidity. Weighted calculation: 9.2 of 12 available weight units -&gt; 7.7, rounds to 8.</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Simmons First National shows meaningful institutional endurance -- 117 consecutive years of dividend payments spanning the Great Depression, two World Wars, 2008, and COVID-19 -- but its current playbook of serial bank acquisitions to add scale is a fundamentally finite 'get bigger' strategy rather than a Just Cause. The multi-year, orderly CEO transition from George Makris to Jay Brogdon effective January 2026 reflects organizational discipline, but management commentary centers on loan production, efficiency ratios, and deposit competition -- standard finite-game banking metrics -- rather than an articulated purpose beyond the business itself.</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Simmons' 117-year dividend streak is itself remarkable evidence of long-term orientation, and the mission of 'building value for customers, communities, and shareholders' has persisted across multiple crises and leadership transitions [2][3]. However, the purpose remains generic community-banking language rather than an idealistic vision of a future state, and the primary growth strategy -- acquiring other banks for scale -- is about size, not cause.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Management describes a stable executive bench with a 'long runway' and emphasizes talent development as a competitive advantage, and the deliberate multi-year succession plan avoided the disruptive leadership churn seen at some peers [2]. No specific turnover or engagement data distinguishes Simmons from the industry average, so this reads as adequate rather than exceptional 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Public commentary from management centers on loan production records, deposit competition, and efficiency versus peers -- standard competitive banking language focused on winning market share rather than acknowledging what competitors do better or using rivalry as a spur for self-improvement [1].</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Simmons has grown geographically through more than a decade of bank acquisitions but has not fundamentally reinvented its business model -- it remains a traditional relationship-banking franchise, the same model it has run for over a century [1]. This is incremental scale expansion, not the kind of transformative pivot Sinek requires.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multi-year, publicly telegraphed CEO succession plan from Makris to Brogdon, and the decision to maintain the dividend and continue organic investment through the disruptive Q3 FY2025 one-time charge, show some willingness to prioritize institutional continuity over short-term optics [1][2]. There is no evidence, however, of Simmons walking away from profitable-but-misaligned business lines or making a costly principled stand.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Simmons First National offers value and income: Q2 2026 revenue grew 16.4% YoY to $245.6M, diluted EPS came in at $0.46 (Q1 2026: $0.47), and the stock trades around 10x forward earnings with a 3.7% dividend yield backed by 117 consecutive years of dividend payments -- one of the longest streaks in American banking -- plus a 15th consecutive year of dividend increases in 2026 [1][3]. The bank's six-state Mid-South footprint, disciplined underwriting culture, and the orderly transition to new CEO Jay Brogdon in January 2026 provide leadership continuity heading into the next growth phase. Forward P/E of 10.1x versus a 20x target reflects a discount that could close as the market looks past the one-time Q3 FY2025 charge toward the bank's now-recovering quarterly earnings trajectory [4].</w:t>
      </w:r>
    </w:p>
    <w:p>
      <w:pPr>
        <w:spacing w:after="120"/>
      </w:pPr>
      <w:r>
        <w:rPr>
          <w:rFonts w:ascii="Calibri" w:hAnsi="Calibri"/>
          <w:b w:val="0"/>
          <w:color w:val="3A4A28"/>
          <w:sz w:val="20"/>
        </w:rPr>
        <w:t>The bear case centers on a large, unresolved credibility gap: Simmons recorded a $562.8M net loss on -$572.7M of GAAP revenue in Q3 FY2025 alone, dragging trailing-twelve-month ROE to roughly -9.9% and profit margin to roughly -218% even though the bank has been solidly profitable in every surrounding quarter [1][4]. Whatever combination of securities-portfolio repositioning and/or merger-related credit provisioning drove that charge, it was not transparently explained in the research available, and any recurrence would be a serious red flag for a bank of this size. Simmons also shows no visible AI or digital-banking strategy to counter fintech lenders in consumer credit, and its geographic concentration in six mid-South states leaves it exposed to regional agricultural and energy-sector cycles. The Inspiration and Innovation scores are weak because Simmons discloses little evidence of community investment, employee retention, or insider conviction beyond boilerplate ESG language.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net interest margin recovery and loan growth following Q2 2026's 16.4% YoY revenue growth to $245.6M, as the one-time Q3 FY2025 charge rolls out of trailing-twelve-month comparisons [1]</w:t>
      </w:r>
    </w:p>
    <w:p>
      <w:pPr>
        <w:spacing w:before="40" w:after="40"/>
        <w:ind w:left="283"/>
      </w:pPr>
      <w:r>
        <w:rPr>
          <w:rFonts w:ascii="Calibri" w:hAnsi="Calibri"/>
          <w:b/>
          <w:color w:val="4A6B25"/>
          <w:sz w:val="20"/>
        </w:rPr>
        <w:t xml:space="preserve">2. </w:t>
      </w:r>
      <w:r>
        <w:rPr>
          <w:rFonts w:ascii="Calibri" w:hAnsi="Calibri"/>
          <w:b w:val="0"/>
          <w:color w:val="3A4A28"/>
          <w:sz w:val="20"/>
        </w:rPr>
        <w:t>Smooth CEO transition to Jay Brogdon effective January 2026, providing continuity for the organic growth and disciplined underwriting strategy management has emphasized amid industry consolidation [2]</w:t>
      </w:r>
    </w:p>
    <w:p>
      <w:pPr>
        <w:spacing w:before="40" w:after="40"/>
        <w:ind w:left="283"/>
      </w:pPr>
      <w:r>
        <w:rPr>
          <w:rFonts w:ascii="Calibri" w:hAnsi="Calibri"/>
          <w:b/>
          <w:color w:val="4A6B25"/>
          <w:sz w:val="20"/>
        </w:rPr>
        <w:t xml:space="preserve">3. </w:t>
      </w:r>
      <w:r>
        <w:rPr>
          <w:rFonts w:ascii="Calibri" w:hAnsi="Calibri"/>
          <w:b w:val="0"/>
          <w:color w:val="3A4A28"/>
          <w:sz w:val="20"/>
        </w:rPr>
        <w:t>117-year dividend streak with a 15th consecutive year of increases in 2026 supports continued modest annual dividend growth and could attract income-focused capital at the current 3.7% yield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Lack of transparency around the Q3 FY2025 $562.8M net loss / -$572.7M revenue quarter -- without clear disclosure of its drivers, investors cannot rule out recurrence of large one-time charges tied to securities repositioning or acquired-loan credit quality [1][4]</w:t>
      </w:r>
    </w:p>
    <w:p>
      <w:pPr>
        <w:spacing w:before="40" w:after="40"/>
        <w:ind w:left="283"/>
      </w:pPr>
      <w:r>
        <w:rPr>
          <w:rFonts w:ascii="Calibri" w:hAnsi="Calibri"/>
          <w:b/>
          <w:color w:val="4A6B25"/>
          <w:sz w:val="20"/>
        </w:rPr>
        <w:t xml:space="preserve">2. </w:t>
      </w:r>
      <w:r>
        <w:rPr>
          <w:rFonts w:ascii="Calibri" w:hAnsi="Calibri"/>
          <w:b w:val="0"/>
          <w:color w:val="3A4A28"/>
          <w:sz w:val="20"/>
        </w:rPr>
        <w:t>Geographic concentration across Arkansas, Kansas, Missouri, Oklahoma, Tennessee, and Texas leaves earnings exposed to regional agricultural and energy-sector downturns</w:t>
      </w:r>
    </w:p>
    <w:p>
      <w:pPr>
        <w:spacing w:before="40" w:after="40"/>
        <w:ind w:left="283"/>
      </w:pPr>
      <w:r>
        <w:rPr>
          <w:rFonts w:ascii="Calibri" w:hAnsi="Calibri"/>
          <w:b/>
          <w:color w:val="4A6B25"/>
          <w:sz w:val="20"/>
        </w:rPr>
        <w:t xml:space="preserve">3. </w:t>
      </w:r>
      <w:r>
        <w:rPr>
          <w:rFonts w:ascii="Calibri" w:hAnsi="Calibri"/>
          <w:b w:val="0"/>
          <w:color w:val="3A4A28"/>
          <w:sz w:val="20"/>
        </w:rPr>
        <w:t>No visible AI or digital-banking strategy to counter fintech and AI-powered lenders competing for consumer and small-business credit, even as management acknowledges 'ongoing disruption and consolidation' in the industry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Simmons Bank's core business -- relationship-based commercial and consumer lending, deposit-gathering, and trust/wealth management -- operates behind meaningful regulatory moats (banking charter, FDIC insurance, BSA/AML compliance) and requires physical branch presence and local underwriting judgment that AI cannot easily replicate; management explicitly frames organic growth and disciplined credit underwriting, not AI-driven cost-cutting, as its competitive edge amid 'ongoing disruption and consolidation in the industry' [2]. Some exposure exists from AI-powered fintech lenders compressing margins in consumer and small-business lending, but Simmons' core commercial banking relationships are structurally defensible. AI Opportunity (0/1): AI investment (Workday, Jack Henry platforms) is directed at internal efficiency, not customer-facing AI products or quantified AI-driven revenue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Simmons First National Corporation Q1 and Q2 2026 Earnings Releases — PRNewswire, July 2026</w:t>
      </w:r>
    </w:p>
    <w:p>
      <w:pPr>
        <w:spacing w:before="20" w:after="20"/>
        <w:ind w:left="170"/>
      </w:pPr>
      <w:r>
        <w:rPr>
          <w:rFonts w:ascii="Calibri" w:hAnsi="Calibri"/>
          <w:b/>
          <w:color w:val="4A6B25"/>
          <w:sz w:val="15"/>
        </w:rPr>
        <w:t xml:space="preserve">2. </w:t>
      </w:r>
      <w:r>
        <w:rPr>
          <w:rFonts w:ascii="Calibri" w:hAnsi="Calibri"/>
          <w:b w:val="0"/>
          <w:color w:val="3A4A28"/>
          <w:sz w:val="17"/>
        </w:rPr>
        <w:t>Simmons Bank AI/Digital Transformation and CEO Succession Announcements — AppsRunTheWorld, Newsroom.SimmonsBank.com, PRNewswire, 2025-2026</w:t>
      </w:r>
    </w:p>
    <w:p>
      <w:pPr>
        <w:spacing w:before="20" w:after="20"/>
        <w:ind w:left="170"/>
      </w:pPr>
      <w:r>
        <w:rPr>
          <w:rFonts w:ascii="Calibri" w:hAnsi="Calibri"/>
          <w:b/>
          <w:color w:val="4A6B25"/>
          <w:sz w:val="15"/>
        </w:rPr>
        <w:t xml:space="preserve">3. </w:t>
      </w:r>
      <w:r>
        <w:rPr>
          <w:rFonts w:ascii="Calibri" w:hAnsi="Calibri"/>
          <w:b w:val="0"/>
          <w:color w:val="3A4A28"/>
          <w:sz w:val="17"/>
        </w:rPr>
        <w:t>Simmons First National Dividend History — 117 Consecutive Years Paid, 15th Consecutive Year of Increases — Dividend Power research, IR.SimmonsBank.com, 2025-2026</w:t>
      </w:r>
    </w:p>
    <w:p>
      <w:pPr>
        <w:spacing w:before="20" w:after="20"/>
        <w:ind w:left="170"/>
      </w:pPr>
      <w:r>
        <w:rPr>
          <w:rFonts w:ascii="Calibri" w:hAnsi="Calibri"/>
          <w:b/>
          <w:color w:val="4A6B25"/>
          <w:sz w:val="15"/>
        </w:rPr>
        <w:t xml:space="preserve">4. </w:t>
      </w:r>
      <w:r>
        <w:rPr>
          <w:rFonts w:ascii="Calibri" w:hAnsi="Calibri"/>
          <w:b w:val="0"/>
          <w:color w:val="3A4A28"/>
          <w:sz w:val="17"/>
        </w:rPr>
        <w:t>StockAnalysis.com / Yahoo Finance — SFNC Key Statistics and Quarterly Financials,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