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SGI</w:t>
      </w:r>
      <w:r>
        <w:rPr>
          <w:rFonts w:ascii="Calibri" w:hAnsi="Calibri"/>
          <w:b/>
          <w:color w:val="1A2010"/>
          <w:sz w:val="40"/>
        </w:rPr>
        <w:t xml:space="preserve">  Somnigroup International Inc.</w:t>
      </w:r>
    </w:p>
    <w:p>
      <w:pPr>
        <w:spacing w:after="120"/>
      </w:pPr>
      <w:r>
        <w:rPr>
          <w:rFonts w:ascii="Calibri" w:hAnsi="Calibri"/>
          <w:b/>
          <w:color w:val="6E8450"/>
          <w:sz w:val="18"/>
        </w:rPr>
        <w:t>GROWTH SLEEVE · 2026-09-15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Furnishings, Fixtures &amp; Appliances · NYSE · United States</w:t>
      </w:r>
    </w:p>
    <w:p>
      <w:pPr>
        <w:spacing w:after="80"/>
      </w:pPr>
      <w:r>
        <w:rPr>
          <w:rFonts w:ascii="Calibri" w:hAnsi="Calibri"/>
          <w:b w:val="0"/>
          <w:color w:val="3A4A28"/>
          <w:sz w:val="20"/>
        </w:rPr>
        <w:t>Somnigroup International Inc. (formerly Tempur Sealy International) is the world's largest bedding company, designing, manufacturing, distributing, and retailing mattresses, foundations, and accessories under the Tempur-Pedic, Sealy, Stearns &amp; Foster, and Sleepy's brands. Following the 2025 Mattress Firm acquisition, the company operates vertically integrated retail through 2,300+ stores with ~55,000 employees. CEO Cliff Buster succeeded Scott Thompson in 2025. The $2.5B Leggett &amp; Platt merger (announced April 2026) is pending regulatory approvals. FY2026 guidance: ~$7.8B revenue, adjusted EPS $3.00-$3.40. Founded 1846, headquartered in Dallas, Texas.</w:t>
      </w:r>
    </w:p>
    <w:p>
      <w:r>
        <w:rPr>
          <w:rFonts w:ascii="Calibri" w:hAnsi="Calibri"/>
          <w:b/>
          <w:color w:val="6E8450"/>
          <w:sz w:val="18"/>
        </w:rPr>
        <w:t>55,000 Employees · https://www.somnigroup.com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Somnigroup has executed two transformative acquisitions — the $4B Mattress Firm acquisition (closed January 2025) that created a vertically integrated sleep platform with retail distribution, and the $2.5B all-stock Leggett &amp; Platt merger announced April 2026 to integrate component manufacturing [1][3]. Revenue grew 12.3% YoY to $1.80B in Q1 2026, demonstrating post-acquisition momentum. The company renamed from Tempur Sealy to Somnigroup to signal its evolution from mattress manufacturer to sleep platform. These are significant strategic moves, though primarily acquisitive rather than organic innovation. AI Deployment (1/2): Somnigroup invested $25M for an approximate 15.6% equity stake in Fullpower-AI, whose Sleeptracker-AI technology has powered the TEMPUR-Ergo Smart Base for 250 million+ nights of sleep, validated by Stanford and UCSF for biosensing [2]. Smart bases carry a price premium, directly monetizing AI. However, specific AI revenue figures as a percentage of total sales have not been disclosed. Market Share (2/2): Somnigroup is the world's largest bedding company — Sealy is the number-one mattress brand in the US, Tempur-Pedic dominates the premium segment, and Mattress Firm is the largest specialty mattress retail network with 2,300+ stores [1]. The Leggett &amp; Platt merger will add the dominant mattress spring and component supplier [3]. Product Pipeline (1/2): Fullpower-AI partnership extended through 2036 with exclusive global rights for Sleeptracker technology in bedding products, and the Leggett &amp; Platt merger is expected to close by year-end 2026 [2][4]. However, no breakthrough next-gen consumer product with specific launch dates was disclosed. R&amp;D Intensity (1/1): The $25M Fullpower-AI investment and ongoing material science innovation in TEMPUR foam formulations place R&amp;D investment above the consumer durables industry average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Somnigroup describes itself as 'dedicated to improving people's lives through better sleep,' connecting the business to a genuine purpose around sleep health and wellness [2]. The rebranding to Somnigroup signals strategic ambition to transcend mattress manufacturing into a sleep wellness platform. However, this purpose is functional rather than transformative — it identifies what the company does and for whom but doesn't articulate a deeply inspiring vision that differentiates from peer mattress companies. Community Impact (1/2): Somnigroup achieved zero waste to landfill status across manufacturing and corporate offices and set a carbon neutrality goal for 2040, documenting environmental progress in Corporate Social Values Reports [1]. These represent meaningful sustainability commitments but are standard for large consumer goods companies. Employee Retention (0/2): No specific employee retention data, average tenure, or turnover metrics were found. CEO Scott Thompson has served since 2015, providing leadership continuity, but no broader organizational retention evidence was identified [2]. Insider Buying (0/2): No evidence of substantial open-market insider purchases by CEO Thompson or other executives in the last 12 months was found. Insider alignment is primarily through equity-based compensation grants rather than demonstrated market buying with personal capital.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Q1 2026 delivered $1.80B in revenue (up 12.3% YoY) with $104M net income and record Q1 FCF of $186M, but the most recent quarter shows -3% revenue decline on an organic comparable basis as both periods now include Mattress Firm [1][5]. FY2026 guidance targets ~$7.8B revenue with adjusted EPS $3.00-$3.40. D/E of 198% is elevated from Mattress Firm acquisition debt, scoring 0.44 [5]. ROE of 17.5% exceeds the 15% target, scoring 1.0 at 2x weight [5]. Revenue growth YoY of -3.0% (most recent quarter, organic comparable) scores 0.57 [5]. Forward P/E of 17.3 improved significantly from prior screen, scoring 1.0 [5]. Net profit margin of 7.0% scores 0.35 [5]. Forward PEG of 0.83 is below the 1.0 target, scoring 1.0 at 2x weight [5]. Revenue growth 5yr CAGR excluded as Mattress Firm acquisition distorts the calculation. Weighted sum 6.36 / max 8.0 = 7.95, rounded to 8. Liquidity floor easily cleared: 3.1M avg volume times $68.12 = $212M.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Somnigroup demonstrates strong infinite game characteristics through a pattern of bold, transformative strategic bets in service of its sleep improvement purpose. The $4B Mattress Firm acquisition, $25M Fullpower-AI investment, rename to Somnigroup, and now the $2.5B Leggett &amp; Platt merger represent a sustained pattern of reinventing the company from mattress manufacturer to vertically integrated sleep platform. The company's willingness to take on significant debt and execution risk for long-term structural advantages, combined with 180 years of institutional heritage through Sealy, demonstrates endurance and strategic courage. The Leggett &amp; Platt merger, acquiring a company whose springs and components underpin the entire mattress industry, is existential flexibility at scale.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Improving people's lives through better sleep is a genuine cause that connects Somnigroup's product portfolio to human wellbeing. The Sleeptracker-AI platform collecting 250M+ nights of data for health insights gives the cause substance beyond marketing [2]. The rebranding to Somnigroup and the sustained pattern of investments in AI sleep technology, retail distribution, and now component manufacturing all trace back to this purpose of improving sleep. However, the cause hasn't been tested through a deliberate sacrifice of profitable business in service of the mission, and the activist shareholder influence (H Partners) suggests financial engineering competes with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Cliff Buster succeeded Scott Thompson in 2025, and Thompson transitioned to Chairman — a structured succession that maintained organizational continuity through the Mattress Firm integration [2]. However, Glassdoor reviews present mixed signals: employees cite culture, career development, and benefits as pros, but describe the company as 'now driven by the need to drive shareholder value' with senior leadership and management mentioned as cons [2]. The rapid pace of acquisitions and integration across a 55,000+ employee base may strain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Somnigroup frames its competitive strategy around improving sleep outcomes and building a vertically integrated platform rather than defeating specific competitors [2]. The Leggett &amp; Platt merger is positioned as strategic supply chain integration to improve product quality and cost structure, not as competitive destruction [3]. The company acknowledges the broader sleep wellness industry as an opportunity for all participants, consistent with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Somnigroup has fundamentally reinvented itself multiple times — from Tempur-Pedic (single premium brand) to Tempur Sealy (2012 merger creating the largest mattress company), to Somnigroup (2025 rename with Mattress Firm retail integration), and now pursuing the Leggett &amp; Platt merger to integrate component manufacturing [1][3]. Each transformation has been transformative rather than incremental, driven by the vision of building a vertically integrated sleep platform. The willingness to rename a 180-year-old company (Sealy) and take on $4.5B in debt for the Mattress Firm deal demonstrates genuine flexibility in service of the evolving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Somnigroup demonstrates a clear pattern of courageous capital allocation decisions. The $4B Mattress Firm acquisition required regulatory concessions and added significant leverage [1]. The $25M Fullpower-AI investment with exclusive 10-year licensing committed to AI sleep technology before the market validated it [2]. Now the $2.5B Leggett &amp; Platt merger extends the vertical integration strategy further. Each of these decisions was costly, controversial, and long-term oriented — the hallmarks of courageous leadership in Sinek's framework. Management invested in long-term capability building while accepting near-term financial complexity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Somnigroup is the world's largest bedding company with $7.62B in trailing revenue, and the stock has become more attractively valued at 17.3x forward earnings with a PEG of 0.83, down from 22.75x forward P/E at the prior screen [5]. Q1 2026 delivered $1.80B revenue (+12.3% YoY) with $104M net income and record Q1 FCF of $186M [1]. The $2.5B Leggett &amp; Platt merger, which cleared HSR antitrust review in June 2026, will integrate the dominant mattress component supplier into the vertically integrated platform [3][4]. The Fullpower-AI exclusive partnership through 2036 with 250M+ nights of validated sleep data creates a defensible AI sleep technology position [2]. FY2026 guidance targets ~$7.8B revenue with adjusted EPS $3.00-$3.40 and gross margin above 45%, while FCF of $688M supports continued deleveraging from the $6.4B debt load [1][5].</w:t>
      </w:r>
    </w:p>
    <w:p>
      <w:pPr>
        <w:spacing w:after="120"/>
      </w:pPr>
      <w:r>
        <w:rPr>
          <w:rFonts w:ascii="Calibri" w:hAnsi="Calibri"/>
          <w:b w:val="0"/>
          <w:color w:val="3A4A28"/>
          <w:sz w:val="20"/>
        </w:rPr>
        <w:t>The bear case has intensified since the prior screen. Organic revenue growth has turned negative (-3% in the most recent quarter on a comparable basis), suggesting the underlying mattress market is softening as both periods now include Mattress Firm [5]. D/E of 198% with $6.4B total debt against only $112M cash creates significant leverage risk in a cyclical consumer industry [5]. Profit margin of 7.0% is thin and leaves no buffer for operational disruptions. The Leggett &amp; Platt merger, while strategically compelling, adds operational complexity on top of the still-integrating $4B Mattress Firm acquisition, with multiple international regulatory approvals still pending [3][4]. Glassdoor reviews describe a culture shift toward 'driving shareholder value' over employee wellbeing, and CEO Cliff Buster is still proving himself after succeeding Scott Thompson in 2025 [2]. The mattress industry is highly cyclical and correlated with housing activity — a recession would pressure both Mattress Firm's 2,300+ store network and Tempur-Pedic's premium price points.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Leggett &amp; Platt merger closing by year-end 2026, integrating the dominant mattress component manufacturer and completing the vertically integrated sleep platform from materials to retail [3][4]</w:t>
      </w:r>
    </w:p>
    <w:p>
      <w:pPr>
        <w:spacing w:before="40" w:after="40"/>
        <w:ind w:left="283"/>
      </w:pPr>
      <w:r>
        <w:rPr>
          <w:rFonts w:ascii="Calibri" w:hAnsi="Calibri"/>
          <w:b/>
          <w:color w:val="4A6B25"/>
          <w:sz w:val="20"/>
        </w:rPr>
        <w:t xml:space="preserve">2. </w:t>
      </w:r>
      <w:r>
        <w:rPr>
          <w:rFonts w:ascii="Calibri" w:hAnsi="Calibri"/>
          <w:b w:val="0"/>
          <w:color w:val="3A4A28"/>
          <w:sz w:val="20"/>
        </w:rPr>
        <w:t>Continued net debt reduction (nearly $500M over TTM) bringing leverage toward the 2-3x target range, with record free cash flow generation of $186M in Q1 alone supporting deleveraging [1]</w:t>
      </w:r>
    </w:p>
    <w:p>
      <w:pPr>
        <w:spacing w:before="40" w:after="40"/>
        <w:ind w:left="283"/>
      </w:pPr>
      <w:r>
        <w:rPr>
          <w:rFonts w:ascii="Calibri" w:hAnsi="Calibri"/>
          <w:b/>
          <w:color w:val="4A6B25"/>
          <w:sz w:val="20"/>
        </w:rPr>
        <w:t xml:space="preserve">3. </w:t>
      </w:r>
      <w:r>
        <w:rPr>
          <w:rFonts w:ascii="Calibri" w:hAnsi="Calibri"/>
          <w:b w:val="0"/>
          <w:color w:val="3A4A28"/>
          <w:sz w:val="20"/>
        </w:rPr>
        <w:t>AI sleep technology scaling through the Fullpower-AI exclusive partnership with 250M+ nights of validated data, creating opportunities for health-tech partnerships and premium pricing across the global Tempur-Pedic smart base ecosystem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complexity from the $2.5B Leggett &amp; Platt merger on top of the still-integrating $4B Mattress Firm acquisition, with multiple international regulatory approvals still pending and management bandwidth stretched across two major transactions [3][4]</w:t>
      </w:r>
    </w:p>
    <w:p>
      <w:pPr>
        <w:spacing w:before="40" w:after="40"/>
        <w:ind w:left="283"/>
      </w:pPr>
      <w:r>
        <w:rPr>
          <w:rFonts w:ascii="Calibri" w:hAnsi="Calibri"/>
          <w:b/>
          <w:color w:val="4A6B25"/>
          <w:sz w:val="20"/>
        </w:rPr>
        <w:t xml:space="preserve">2. </w:t>
      </w:r>
      <w:r>
        <w:rPr>
          <w:rFonts w:ascii="Calibri" w:hAnsi="Calibri"/>
          <w:b w:val="0"/>
          <w:color w:val="3A4A28"/>
          <w:sz w:val="20"/>
        </w:rPr>
        <w:t>Elevated leverage at 198% D/E with $6.4B total debt against $112M cash, creating interest rate sensitivity and limiting financial flexibility in a cyclical consumer industry where organic revenue has turned negative [1][5]</w:t>
      </w:r>
    </w:p>
    <w:p>
      <w:pPr>
        <w:spacing w:before="40" w:after="40"/>
        <w:ind w:left="283"/>
      </w:pPr>
      <w:r>
        <w:rPr>
          <w:rFonts w:ascii="Calibri" w:hAnsi="Calibri"/>
          <w:b/>
          <w:color w:val="4A6B25"/>
          <w:sz w:val="20"/>
        </w:rPr>
        <w:t xml:space="preserve">3. </w:t>
      </w:r>
      <w:r>
        <w:rPr>
          <w:rFonts w:ascii="Calibri" w:hAnsi="Calibri"/>
          <w:b w:val="0"/>
          <w:color w:val="3A4A28"/>
          <w:sz w:val="20"/>
        </w:rPr>
        <w:t>Cyclical consumer demand exposure — mattress purchases are highly correlated with housing activity and consumer confidence, and a recession would pressure both Mattress Firm's 2,300+ store retail network and Tempur-Pedic's premium price points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Somnigroup manufactures physical mattresses, operates 2,300+ retail stores, and manages a complex global supply chain for bedding products — AI cannot replace the physical product, in-store sleep trial experience, or manufacturing infrastructure [1]. The bedding industry is fundamentally physical with zero substitution risk from AI tools. Brand loyalty in premium mattresses (Tempur-Pedic commands $3,000+ price points) is built on proprietary TEMPUR material science and physical comfort, not digitizable services. Some risk exists from AI-powered online mattress recommendation tools that could shift retail dynamics, but Mattress Firm's physical retail presence and the tactile nature of mattress purchasing provide strong defensive moats. AI Opportunity (1/1): The Fullpower-AI partnership with 250M+ nights of validated sleep data powering TEMPUR-Ergo Smart Bases at price premiums demonstrates meaningful AI-enabled revenue enhancement, with exclusive global rights secured through 2036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Somnigroup Q1 2026 Earnings Release — $1.80B revenue (up 12.3%), $104M net income, $247M operating cash flow, $186M free cash flow, full-year guidance, May 2026</w:t>
      </w:r>
    </w:p>
    <w:p>
      <w:pPr>
        <w:spacing w:before="20" w:after="20"/>
        <w:ind w:left="170"/>
      </w:pPr>
      <w:r>
        <w:rPr>
          <w:rFonts w:ascii="Calibri" w:hAnsi="Calibri"/>
          <w:b/>
          <w:color w:val="4A6B25"/>
          <w:sz w:val="15"/>
        </w:rPr>
        <w:t xml:space="preserve">2. </w:t>
      </w:r>
      <w:r>
        <w:rPr>
          <w:rFonts w:ascii="Calibri" w:hAnsi="Calibri"/>
          <w:b w:val="0"/>
          <w:color w:val="3A4A28"/>
          <w:sz w:val="17"/>
        </w:rPr>
        <w:t>Somnigroup-Fullpower AI Strategic Partnership — $25M equity investment, exclusive Sleeptracker-AI rights through 2036, 250M+ nights of validated sleep data, PR Newswire 2025</w:t>
      </w:r>
    </w:p>
    <w:p>
      <w:pPr>
        <w:spacing w:before="20" w:after="20"/>
        <w:ind w:left="170"/>
      </w:pPr>
      <w:r>
        <w:rPr>
          <w:rFonts w:ascii="Calibri" w:hAnsi="Calibri"/>
          <w:b/>
          <w:color w:val="4A6B25"/>
          <w:sz w:val="15"/>
        </w:rPr>
        <w:t xml:space="preserve">3. </w:t>
      </w:r>
      <w:r>
        <w:rPr>
          <w:rFonts w:ascii="Calibri" w:hAnsi="Calibri"/>
          <w:b w:val="0"/>
          <w:color w:val="3A4A28"/>
          <w:sz w:val="17"/>
        </w:rPr>
        <w:t>Somnigroup-Leggett &amp; Platt Merger Agreement — $2.5B all-stock transaction, 0.1455 exchange ratio, SEC S-4 Filing, April 2026</w:t>
      </w:r>
    </w:p>
    <w:p>
      <w:pPr>
        <w:spacing w:before="20" w:after="20"/>
        <w:ind w:left="170"/>
      </w:pPr>
      <w:r>
        <w:rPr>
          <w:rFonts w:ascii="Calibri" w:hAnsi="Calibri"/>
          <w:b/>
          <w:color w:val="4A6B25"/>
          <w:sz w:val="15"/>
        </w:rPr>
        <w:t xml:space="preserve">4. </w:t>
      </w:r>
      <w:r>
        <w:rPr>
          <w:rFonts w:ascii="Calibri" w:hAnsi="Calibri"/>
          <w:b w:val="0"/>
          <w:color w:val="3A4A28"/>
          <w:sz w:val="17"/>
        </w:rPr>
        <w:t>Somnigroup HSR Antitrust Clearance for Leggett &amp; Platt Merger — somnigroup.com, June 4,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SGI Key Statistics: Stock Price $68.12, Forward P/E 17.3, PEG 0.83, D/E 198%, ROE 17.5%, Revenue Growth -3%, FCF $688M,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