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SGRY</w:t>
      </w:r>
      <w:r>
        <w:rPr>
          <w:rFonts w:ascii="Calibri" w:hAnsi="Calibri"/>
          <w:b/>
          <w:color w:val="1A2010"/>
          <w:sz w:val="40"/>
        </w:rPr>
        <w:t xml:space="preserve">  Surgery Partners, Inc.</w:t>
      </w:r>
    </w:p>
    <w:p>
      <w:pPr>
        <w:spacing w:after="120"/>
      </w:pPr>
      <w:r>
        <w:rPr>
          <w:rFonts w:ascii="Calibri" w:hAnsi="Calibri"/>
          <w:b/>
          <w:color w:val="6E8450"/>
          <w:sz w:val="18"/>
        </w:rPr>
        <w:t>GROWTH SLEEVE · 2026-09-17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NASDAQ · United States</w:t>
      </w:r>
    </w:p>
    <w:p>
      <w:pPr>
        <w:spacing w:after="80"/>
      </w:pPr>
      <w:r>
        <w:rPr>
          <w:rFonts w:ascii="Calibri" w:hAnsi="Calibri"/>
          <w:b w:val="0"/>
          <w:color w:val="3A4A28"/>
          <w:sz w:val="20"/>
        </w:rPr>
        <w:t>Surgery Partners, Inc. owns and operates a national network of ambulatory surgery centers (ASCs), surgical hospitals, and ancillary services including physician practices, diagnostic testing, urgent care, and anesthesia services across specialties such as orthopedics, pain management, ophthalmology, and gastroenterology. Founded in 2004 and headquartered in Brentwood, Tennessee, the company is led by CEO Eric Evans (since January 2020, previously President of Hospital Operations at Tenet Healthcare) and grows through same-facility volume gains, de novo facility development, and M&amp;A.</w:t>
      </w:r>
    </w:p>
    <w:p>
      <w:r>
        <w:rPr>
          <w:rFonts w:ascii="Calibri" w:hAnsi="Calibri"/>
          <w:b/>
          <w:color w:val="6E8450"/>
          <w:sz w:val="18"/>
        </w:rPr>
        <w:t>16,000 Employees · https://www.surgerypartners.com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Surgery Partners opened eight de novo facilities in 2025 and grew FY2025 net revenue 6.2% to $3.3 billion on nearly 670,000 surgical cases (+2%), but credibility of that execution track record was undercut when Q4 2025 results and FY2026 guidance came in well below the confident margin-expansion targets management had set on the March 2025 earnings call, triggering a shareholder securities-fraud investigation [1][3][5]. AI Deployment (0/2): No specific AI initiatives or technology deployment were identified in the research window, a notable gap versus healthcare peers. Market Share (1/2): Surgery Partners is a meaningful multi-specialty ASC operator but competes in a highly fragmented industry against Tenet/USPI, Optum/SCA Health, and HCA. Product Pipeline (1/2): The de novo facility pipeline plus a planned $200 million of 2026 M&amp;A capital deployment provide some forward growth visibility [2]. R&amp;D Intensity (0/1): As a facility operator rather than a technology or device company, R&amp;D intensity is not a relevant strength.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Providing lower-cost, non-emergency surgical care outside the hospital setting is a genuine, socially valuable access-to-care mission distinct from pure profit maximization. Community Impact (0/2): No specific community health program or philanthropic disclosure was identified; more materially, Surgery Partners affiliates and former executives paid $41 million to settle False Claims Act whistleblower suits (U.S. ex rel. Cho &amp; Baker v. Surgery Partners) alleging improper billing practices, a direct integrity concern that weighs against this score [6]. Employee Retention (0/2): No employee tenure or retention data was identified. Insider Buying (0/2): No evidence of insider buying was found; instead, Levi &amp; Korsinsky opened a securities-fraud investigation into whether management's March 2025 statements of 'high confidence' in 2025 rate growth and margin expansion were materially misleading given the subsequent guidance cut, a governance red flag that further weighs on trust-related evidence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(no dividend). Surgery Partners shows a roughly 3-year revenue CAGR (2022-2025) of approximately 9.2%, just under the 10% target, and revenue growth YoY of 2.7% still scores positively, while D/E of 117.26% comfortably clears the 300% floor and forward P/E of 22.38 is close to its 20x target [9]. The clear weak points are ROE of just 2.32% (well below the 15% target) and a negative trailing profit margin of -2.63%, both reflecting elevated leverage and interest expense along with the Q4 2025 EPS miss that triggered the FY2026 guidance cut [3][4][9]. Liquidity clears the floor comfortably at roughly $27 million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Surgery Partners' genuine access-to-care mission is undercut by real governance and trust concerns: a $41 million False Claims Act settlement over billing practices involving former executives, and a live securities-fraud investigation into whether management's confident 2025 guidance was materially misleading when it was subsequently walked back, together suggest a gap between stated commitments and delivered outcomes.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Lower-cost, non-emergency surgical care delivered outside the hospital setting expands access for patients and payers alike, a real and durable value proposition for the outpatient surgery model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$41 million False Claims Act settlement involving former executives over billing practices points to past compliance or oversight gaps rather than a demonstrated culture of trust and accountability [6].</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Surgery Partners competes against Tenet/USPI, Optum/SCA Health, and HCA in a fragmented ASC industry, and its M&amp;A-driven consolidation strategy treats industry fragmentation as a growth opportunity rather than a threat to be defended against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Continued de novo facility development and a planned $200 million of 2026 M&amp;A capital deployment show ongoing portfolio adaptation, though no major strategic pivot beyond the existing organic-plus-M&amp;A playbook was evidenced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Management's March 2025 statements of 'high confidence' in 2025 rate growth and margin expansion proved incorrect by Q4 2025, and the resulting guidance cut and shareholder investigation suggest overpromising to markets rather than candid, courageous communication about known headwinds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Surgery Partners operates a genuinely durable business — outpatient surgical care that is structurally insulated from AI disruption and benefits from a secular shift of procedures out of hospitals — with FY2025 revenue growth of 6.2% to $3.3 billion, eight new de novo facilities, and a reaffirmed FY2026 revenue guidance of $3.35-3.45 billion [1][2]. The stock's cheap-looking growth profile is offset by real governance concerns: a live securities-fraud investigation into whether management's confident March 2025 guidance was materially misleading, and a historical $41 million False Claims Act settlement over billing practices involving former executives [5][6].</w:t>
      </w:r>
    </w:p>
    <w:p>
      <w:pPr>
        <w:spacing w:after="120"/>
      </w:pPr>
      <w:r>
        <w:rPr>
          <w:rFonts w:ascii="Calibri" w:hAnsi="Calibri"/>
          <w:b w:val="0"/>
          <w:color w:val="3A4A28"/>
          <w:sz w:val="20"/>
        </w:rPr>
        <w:t>The combination of a negative trailing profit margin (-2.63%), a weak 2.32% ROE, and a Q4 2025 guidance cut that seemingly contradicted management's own prior public confidence makes this a name to watch rather than own until leadership rebuilds credibility with a clean quarter or two of delivered results matching guidance. The core healthcare-access mission and AI-resilient service line remain attractive if the governance overhang clears.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 novo facility pipeline and planned $200 million of 2026 M&amp;A capital deployment supporting continued volume and revenue growth</w:t>
      </w:r>
    </w:p>
    <w:p>
      <w:pPr>
        <w:spacing w:before="40" w:after="40"/>
        <w:ind w:left="283"/>
      </w:pPr>
      <w:r>
        <w:rPr>
          <w:rFonts w:ascii="Calibri" w:hAnsi="Calibri"/>
          <w:b/>
          <w:color w:val="4A6B25"/>
          <w:sz w:val="20"/>
        </w:rPr>
        <w:t xml:space="preserve">2. </w:t>
      </w:r>
      <w:r>
        <w:rPr>
          <w:rFonts w:ascii="Calibri" w:hAnsi="Calibri"/>
          <w:b w:val="0"/>
          <w:color w:val="3A4A28"/>
          <w:sz w:val="20"/>
        </w:rPr>
        <w:t>Resolution of the securities-fraud investigation without material findings, which could remove a valuation overhang</w:t>
      </w:r>
    </w:p>
    <w:p>
      <w:pPr>
        <w:spacing w:before="40" w:after="40"/>
        <w:ind w:left="283"/>
      </w:pPr>
      <w:r>
        <w:rPr>
          <w:rFonts w:ascii="Calibri" w:hAnsi="Calibri"/>
          <w:b/>
          <w:color w:val="4A6B25"/>
          <w:sz w:val="20"/>
        </w:rPr>
        <w:t xml:space="preserve">3. </w:t>
      </w:r>
      <w:r>
        <w:rPr>
          <w:rFonts w:ascii="Calibri" w:hAnsi="Calibri"/>
          <w:b w:val="0"/>
          <w:color w:val="3A4A28"/>
          <w:sz w:val="20"/>
        </w:rPr>
        <w:t>Same-facility volume growth (+2% surgical cases in FY2025) continuing to benefit from the secular shift of procedures to outpatient settings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Active shareholder securities-fraud investigation into whether March 2025 management guidance was materially misleading given the subsequent Q4 2025 miss and FY2026 guidance cut</w:t>
      </w:r>
    </w:p>
    <w:p>
      <w:pPr>
        <w:spacing w:before="40" w:after="40"/>
        <w:ind w:left="283"/>
      </w:pPr>
      <w:r>
        <w:rPr>
          <w:rFonts w:ascii="Calibri" w:hAnsi="Calibri"/>
          <w:b/>
          <w:color w:val="4A6B25"/>
          <w:sz w:val="20"/>
        </w:rPr>
        <w:t xml:space="preserve">2. </w:t>
      </w:r>
      <w:r>
        <w:rPr>
          <w:rFonts w:ascii="Calibri" w:hAnsi="Calibri"/>
          <w:b w:val="0"/>
          <w:color w:val="3A4A28"/>
          <w:sz w:val="20"/>
        </w:rPr>
        <w:t>Historical $41 million False Claims Act settlement over billing practices involving former executives, a direct governance and compliance integrity concern</w:t>
      </w:r>
    </w:p>
    <w:p>
      <w:pPr>
        <w:spacing w:before="40" w:after="40"/>
        <w:ind w:left="283"/>
      </w:pPr>
      <w:r>
        <w:rPr>
          <w:rFonts w:ascii="Calibri" w:hAnsi="Calibri"/>
          <w:b/>
          <w:color w:val="4A6B25"/>
          <w:sz w:val="20"/>
        </w:rPr>
        <w:t xml:space="preserve">3. </w:t>
      </w:r>
      <w:r>
        <w:rPr>
          <w:rFonts w:ascii="Calibri" w:hAnsi="Calibri"/>
          <w:b w:val="0"/>
          <w:color w:val="3A4A28"/>
          <w:sz w:val="20"/>
        </w:rPr>
        <w:t>Weak current profitability (negative trailing profit margin, ROE of just 2.32%) leaving little cushion if revenue growth decelerates further from FY2025's 6.2% pace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Outpatient surgical care requires hands-on clinical expertise that AI cannot substitute for the foreseeable future, structurally insulating Surgery Partners' core revenue base from AI-driven labor displacement in a way few other industries enjoy. AI Opportunity Tiebreaker (0/1): No evidence of Surgery Partners deploying AI for scheduling optimization, diagnostics support, or administrative efficiency was identified in the research window, leaving a clear, currently unrealized opportunity for margin improvement that the company has not yet publicly pursued.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Surgery Partners, Inc. Announces Second Quarter 2025 Results, ir.surgerypartners.com, 2025</w:t>
      </w:r>
    </w:p>
    <w:p>
      <w:pPr>
        <w:spacing w:before="20" w:after="20"/>
        <w:ind w:left="170"/>
      </w:pPr>
      <w:r>
        <w:rPr>
          <w:rFonts w:ascii="Calibri" w:hAnsi="Calibri"/>
          <w:b/>
          <w:color w:val="4A6B25"/>
          <w:sz w:val="15"/>
        </w:rPr>
        <w:t xml:space="preserve">2. </w:t>
      </w:r>
      <w:r>
        <w:rPr>
          <w:rFonts w:ascii="Calibri" w:hAnsi="Calibri"/>
          <w:b w:val="0"/>
          <w:color w:val="3A4A28"/>
          <w:sz w:val="17"/>
        </w:rPr>
        <w:t>Surgery Partners Q1 revenue up 4.5%, backs 2026 outlook, StockTitan, 2026</w:t>
      </w:r>
    </w:p>
    <w:p>
      <w:pPr>
        <w:spacing w:before="20" w:after="20"/>
        <w:ind w:left="170"/>
      </w:pPr>
      <w:r>
        <w:rPr>
          <w:rFonts w:ascii="Calibri" w:hAnsi="Calibri"/>
          <w:b/>
          <w:color w:val="4A6B25"/>
          <w:sz w:val="15"/>
        </w:rPr>
        <w:t xml:space="preserve">3. </w:t>
      </w:r>
      <w:r>
        <w:rPr>
          <w:rFonts w:ascii="Calibri" w:hAnsi="Calibri"/>
          <w:b w:val="0"/>
          <w:color w:val="3A4A28"/>
          <w:sz w:val="17"/>
        </w:rPr>
        <w:t>Surgery Partners Inc (SGRY) Q4 2025 Earnings Call Highlights: Revenue Growth Amidst Margin Pressures, GuruFocus, 2026</w:t>
      </w:r>
    </w:p>
    <w:p>
      <w:pPr>
        <w:spacing w:before="20" w:after="20"/>
        <w:ind w:left="170"/>
      </w:pPr>
      <w:r>
        <w:rPr>
          <w:rFonts w:ascii="Calibri" w:hAnsi="Calibri"/>
          <w:b/>
          <w:color w:val="4A6B25"/>
          <w:sz w:val="15"/>
        </w:rPr>
        <w:t xml:space="preserve">4. </w:t>
      </w:r>
      <w:r>
        <w:rPr>
          <w:rFonts w:ascii="Calibri" w:hAnsi="Calibri"/>
          <w:b w:val="0"/>
          <w:color w:val="3A4A28"/>
          <w:sz w:val="17"/>
        </w:rPr>
        <w:t>Surgery Partners (SGRY) Losses Of US$77.9 Million Keep Profitability Narrative Under Pressure, Simply Wall St News, 2026</w:t>
      </w:r>
    </w:p>
    <w:p>
      <w:pPr>
        <w:spacing w:before="20" w:after="20"/>
        <w:ind w:left="170"/>
      </w:pPr>
      <w:r>
        <w:rPr>
          <w:rFonts w:ascii="Calibri" w:hAnsi="Calibri"/>
          <w:b/>
          <w:color w:val="4A6B25"/>
          <w:sz w:val="15"/>
        </w:rPr>
        <w:t xml:space="preserve">5. </w:t>
      </w:r>
      <w:r>
        <w:rPr>
          <w:rFonts w:ascii="Calibri" w:hAnsi="Calibri"/>
          <w:b w:val="0"/>
          <w:color w:val="3A4A28"/>
          <w:sz w:val="17"/>
        </w:rPr>
        <w:t>Fraud Investigation Opened: Levi &amp; Korsinsky Investigates Surgery Partners Inc (SGRY) on Behalf of Shareholders, Barchart, 2026</w:t>
      </w:r>
    </w:p>
    <w:p>
      <w:pPr>
        <w:spacing w:before="20" w:after="20"/>
        <w:ind w:left="170"/>
      </w:pPr>
      <w:r>
        <w:rPr>
          <w:rFonts w:ascii="Calibri" w:hAnsi="Calibri"/>
          <w:b/>
          <w:color w:val="4A6B25"/>
          <w:sz w:val="15"/>
        </w:rPr>
        <w:t xml:space="preserve">6. </w:t>
      </w:r>
      <w:r>
        <w:rPr>
          <w:rFonts w:ascii="Calibri" w:hAnsi="Calibri"/>
          <w:b w:val="0"/>
          <w:color w:val="3A4A28"/>
          <w:sz w:val="17"/>
        </w:rPr>
        <w:t>Pietragallo Law Firm Secures $41M as Tampa-based Surgery Partners' Affiliates and Former Executives Pay to Settle False Claims Suits, pietragallo.com</w:t>
      </w:r>
    </w:p>
    <w:p>
      <w:pPr>
        <w:spacing w:before="20" w:after="20"/>
        <w:ind w:left="170"/>
      </w:pPr>
      <w:r>
        <w:rPr>
          <w:rFonts w:ascii="Calibri" w:hAnsi="Calibri"/>
          <w:b/>
          <w:color w:val="4A6B25"/>
          <w:sz w:val="15"/>
        </w:rPr>
        <w:t xml:space="preserve">7. </w:t>
      </w:r>
      <w:r>
        <w:rPr>
          <w:rFonts w:ascii="Calibri" w:hAnsi="Calibri"/>
          <w:b w:val="0"/>
          <w:color w:val="3A4A28"/>
          <w:sz w:val="17"/>
        </w:rPr>
        <w:t>yfinance — SGRY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