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SG</w:t>
      </w:r>
      <w:r>
        <w:rPr>
          <w:rFonts w:ascii="Calibri" w:hAnsi="Calibri"/>
          <w:b/>
          <w:color w:val="1A2010"/>
          <w:sz w:val="40"/>
        </w:rPr>
        <w:t xml:space="preserve">  Sweetgreen, Inc.</w:t>
      </w:r>
    </w:p>
    <w:p>
      <w:pPr>
        <w:spacing w:after="120"/>
      </w:pPr>
      <w:r>
        <w:rPr>
          <w:rFonts w:ascii="Calibri" w:hAnsi="Calibri"/>
          <w:b/>
          <w:color w:val="6E8450"/>
          <w:sz w:val="18"/>
        </w:rPr>
        <w:t>GROWTH SLEEVE · 2026-08-29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Sweetgreen operates a chain of approximately 230+ fast-casual restaurants across the United States focused on fresh, sustainably-sourced salads, bowls, and wraps. The company pioneered robotic Infinite Kitchen automation technology (subsequently sold to Wonder for $186.4M while retaining deployment rights) and emphasizes a mission-driven approach to connecting people to healthy food.</w:t>
      </w:r>
    </w:p>
    <w:p>
      <w:r>
        <w:rPr>
          <w:rFonts w:ascii="Calibri" w:hAnsi="Calibri"/>
          <w:b/>
          <w:color w:val="6E8450"/>
          <w:sz w:val="18"/>
        </w:rPr>
        <w:t>5,000 Employees · https://www.sweetgreen.com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Sweetgreen successfully developed and deployed the Infinite Kitchen robotic automation technology, which delivered a 26% margin lift in early deployments and represented a genuinely innovative approach to fast-casual restaurant operations [5]. The strategic sale of underlying Spyce business to Wonder for $186.4M while retaining deployment rights was a significant value-realization event [5]. Wraps launch expanded the menu format meaningfully. However, recent comp declines of 12.8% in Q1 and 6.2% in Q2 2026 show the innovation has not yet translated to sustained growth [1][2]. AI Deployment (0/2): No specific AI deployment or AI-driven revenue. The Infinite Kitchen is robotic automation, not AI-powered. Digital ordering and app platform are standard for the industry. Market Share (1/2): Sweetgreen is a meaningful player in fast-casual healthy dining with 230+ locations and strong brand recognition, but not the category leader. Competing against CAVA, Chipotle, and a fragmented healthy fast-casual market without dominant share. Product Pipeline (1/2): Continued Infinite Kitchen deployment across new locations, wraps as a significant menu expansion, and approximately 13 new restaurants planned for FY2026 [1]. Active menu innovation but no specific next-generation product with defined launch timeline. R&amp;D Intensity (1/1): Significant technology investment in digital ordering platform, supply chain systems, and restaurant automation; higher than typical fast-casual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'To inspire healthier communities by connecting people to real food' with a vision 'to be the most impactful food brand of our time' [4]. This is specific, thoughtful, and connects food service to broader health and sustainability outcomes. Leadership references this purpose in strategic decisions including sourcing commitments, carbon neutrality goal by 2027, and the Infinite Kitchen development [4][6]. Clearly differentiated from peers and intentionally crafted, though not yet validated by decades of execution (founded 2007). Community Impact (1/2): Donated over 120,000 fresh meals to local communities during new restaurant openings, with restaurant teams contributing 350+ hours of community service [6]. Carbon neutrality commitment by 2027, 79% waste composted or recycled at measured locations. General corporate philanthropy aligned with mission but without distinctive community investment with quantified dollar amounts. Employee Retention (0/2): Glassdoor reviews cite 'very high turnover at c-level and corporate team member levels' with work-life balance concerns and favoritism allegations [7]. Culture and morale issues undermine the mission-driven branding. Day-to-day experience varies significantly by location and leadership. Insider Buying (0/2): No evidence of meaningful net insider buying by CEO Jonathan Neman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calculated with mixed results reflecting Sweetgreen's growth profile against persistent unprofitability. D/E of 73% is just above the 70% target, scoring 0.99 — manageable leverage with $356M debt against the equity base [3]. ROE of 3.64% scores just 0.24 on a 2x-weighted basis, dragging the composite — reflecting thin profitability on a meaningful capital base. Revenue growth YoY of approximately 1% scores 0.70 as Q2 rose 3.8% but Q1 declined 2.9%, with full-year guidance showing comps declining 7-8% offset by 13 new restaurant openings [1][2]. Five-year revenue CAGR of approximately 15% (from ~$340M in FY2021 to ~$682M guided FY2026) scores perfectly at 1.0 on a 2x-weighted basis. Forward P/E of 13.27 scores 1.0, representing a significant discount to the industry average of 20.7 [3]. Profit margin of approximately -10% scores 0.0 — the company reported a net loss of $26.3M in Q2 2026 and lowered FY2026 adjusted EBITDA guidance to a loss of $23M-$27M due to Cyclospora-related headwinds [1]. Forward PEG of 1.84 scores 0.58 on a 2x-weighted basis. Liquidity floor cleared: 5.2M avg volume x $5.55 = $28.9M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Sweetgreen demonstrates genuine purpose alignment through its 'inspire healthier communities' mission and sustainability commitments, with strategic decisions (sourcing, carbon neutrality, Infinite Kitchen innovation) that trace back to this purpose [4][6]. However, high corporate turnover, Cyclospora-related operational challenges, and recent comp declines of 7-8% reveal execution gaps between the stated cause and organizational reality. The company shows some courage and flexibility but struggles with the trust and stability needed for an infinite game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'Inspire healthier communities by connecting people to real food' is a genuine cause that connects Sweetgreen's food service to broader health and sustainability outcomes [4]. CEO Neman references this purpose in strategic decisions — the Infinite Kitchen was framed as elevating food quality, not just cutting costs. Sourcing decisions, carbon neutrality commitments, and menu choices align with the stated purpose. Some strategic decisions clearly trace back to it. But the cause hasn't been tested through multi-decade consistency or leadership transitions (Neman has led since founding).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indicate significant cultural challenges — 'very high turnover at c-level and corporate team member levels,' reports of VPs and C-suite 'playing favorites and only recognizing certain people's achievements, damaging culture and morale' [7]. Work-life balance concerns with employees 'working all hours of the day and night.' Day-to-day experience varies significantly by location and leadership. These are indicators of a low-trust corporate environment despite the mission-driven branding.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Sweetgreen competes alongside CAVA, Chipotle, and other fast-casual chains but frames competition through innovation rather than market share warfare. The Infinite Kitchen development, wraps launch, and sustainability focus demonstrate a company improving its own offerings rather than obsessing over competitor destruction [5]. CEO Neman's public commentary focuses on Sweetgreen's food mission rather than beating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Sweetgreen evolved from a simple salad chain to a technology-forward fast-casual platform with the Infinite Kitchen robotic automation and sophisticated digital ordering systems [5]. The $186.4M sale of Spyce to Wonder while retaining deployment rights showed strategic adaptability. Menu expansion into wraps represents format flexibility. These are meaningful but incremental adaptations rather than the transformative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development and deployment of Infinite Kitchen automation technology represented a bold strategic bet — investing heavily in robotics for a restaurant chain was unconventional and risked alienating customers and employees [5]. The subsequent sale of Spyce to Wonder for $186.4M while retaining deployment rights showed willingness to crystallize value. However, the Cyclospora crisis response and lowered FY2026 guidance suggest reactive rather than proactive leadership under pressure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Sweetgreen's long-term thesis rests on its mission-driven brand, strong 5-year revenue CAGR of approximately 15%, and the Infinite Kitchen automation technology that demonstrated 26% margin lifts in early deployments [5]. The company operates 230+ locations with a recognizable brand in healthy fast-casual dining, a $1.16B market cap, and a forward P/E of 13.27 that represents a meaningful discount to the restaurant industry average of 20.7 [3]. The sale of Spyce to Wonder for $186.4M validated the technology platform value while retaining deployment rights. With 13 new restaurants planned for FY2026 and continued menu innovation through wraps, the growth story remains intact despite near-term headwinds.</w:t>
      </w:r>
    </w:p>
    <w:p>
      <w:pPr>
        <w:spacing w:after="120"/>
      </w:pPr>
      <w:r>
        <w:rPr>
          <w:rFonts w:ascii="Calibri" w:hAnsi="Calibri"/>
          <w:b w:val="0"/>
          <w:color w:val="3A4A28"/>
          <w:sz w:val="20"/>
        </w:rPr>
        <w:t>The bear case centers on severe operational deterioration. Same-store sales declined 12.8% in Q1 and 6.2% in Q2 2026, with management lowering FY2026 guidance to comps declining 7-8% and adjusted EBITDA loss of $23M-$27M due to Cyclospora-related headwinds [1][2]. The stock has declined 44% over the past 52 weeks, reflecting eroding investor confidence. Restaurant-level profit margins contracted from 18.9% to 13.1% YoY in Q2. The company remains unprofitable on a GAAP basis with a Q2 net loss of $26.3M, and Glassdoor reviews indicate high corporate turnover and cultural challenges that undermine the mission-driven brand [7]. Sweetgreen must demonstrate it can restore positive comp growth and achieve sustained profitability to justify its current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Restoration of positive comparable restaurant sales growth as Cyclospora headwinds abate — management indicated this as a temporary shock, and recovery would re-rate sentiment significantly [1]</w:t>
      </w:r>
    </w:p>
    <w:p>
      <w:pPr>
        <w:spacing w:before="40" w:after="40"/>
        <w:ind w:left="283"/>
      </w:pPr>
      <w:r>
        <w:rPr>
          <w:rFonts w:ascii="Calibri" w:hAnsi="Calibri"/>
          <w:b/>
          <w:color w:val="4A6B25"/>
          <w:sz w:val="20"/>
        </w:rPr>
        <w:t xml:space="preserve">2. </w:t>
      </w:r>
      <w:r>
        <w:rPr>
          <w:rFonts w:ascii="Calibri" w:hAnsi="Calibri"/>
          <w:b w:val="0"/>
          <w:color w:val="3A4A28"/>
          <w:sz w:val="20"/>
        </w:rPr>
        <w:t>Continued Infinite Kitchen deployment driving restaurant-level margin expansion toward the 26% lift demonstrated in early deployments, providing a structural profitability pathway [5]</w:t>
      </w:r>
    </w:p>
    <w:p>
      <w:pPr>
        <w:spacing w:before="40" w:after="40"/>
        <w:ind w:left="283"/>
      </w:pPr>
      <w:r>
        <w:rPr>
          <w:rFonts w:ascii="Calibri" w:hAnsi="Calibri"/>
          <w:b/>
          <w:color w:val="4A6B25"/>
          <w:sz w:val="20"/>
        </w:rPr>
        <w:t xml:space="preserve">3. </w:t>
      </w:r>
      <w:r>
        <w:rPr>
          <w:rFonts w:ascii="Calibri" w:hAnsi="Calibri"/>
          <w:b w:val="0"/>
          <w:color w:val="3A4A28"/>
          <w:sz w:val="20"/>
        </w:rPr>
        <w:t>Menu innovation through wraps launch and seasonal offerings to drive traffic and average ticket size increases across the 230+ location footprint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same-store sales declines of 7-8% eroding unit economics and extending the timeline to profitability — the Cyclospora crisis may have caused lasting brand damage in the health-conscious consumer segment [1][2]</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with FY2026 adjusted EBITDA guided to a loss of $23M-$27M, raising questions about the company's ability to achieve self-sustaining profitability without additional capital raises [1]</w:t>
      </w:r>
    </w:p>
    <w:p>
      <w:pPr>
        <w:spacing w:before="40" w:after="40"/>
        <w:ind w:left="283"/>
      </w:pPr>
      <w:r>
        <w:rPr>
          <w:rFonts w:ascii="Calibri" w:hAnsi="Calibri"/>
          <w:b/>
          <w:color w:val="4A6B25"/>
          <w:sz w:val="20"/>
        </w:rPr>
        <w:t xml:space="preserve">3. </w:t>
      </w:r>
      <w:r>
        <w:rPr>
          <w:rFonts w:ascii="Calibri" w:hAnsi="Calibri"/>
          <w:b w:val="0"/>
          <w:color w:val="3A4A28"/>
          <w:sz w:val="20"/>
        </w:rPr>
        <w:t>High corporate turnover and cultural challenges at Glassdoor (favoritism allegations, work-life balance concerns) risk undermining the mission-driven brand that is Sweetgreen's key competitive differentiator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Restaurant operations involve physical food preparation, real estate leases, supply chain logistics for fresh perishable ingredients, and in-person customer service that AI structurally cannot replace [4]. Sweetgreen's value proposition — fresh salads and bowls assembled from whole ingredients in physical locations — requires kitchens, staff, and foot traffic that are immune to AI substitution. AI may improve operational efficiency (ordering, scheduling, demand forecasting) but serves as an enabler, not a threat. The Infinite Kitchen robotic automation represents the extent of technology displacement in this category — and Sweetgreen was the innovator, not the victim. No analysts have flagged AI disruption as a risk for fast-casual dining. AI Opportunity (0/1): No meaningful AI-derived revenue. Digital ordering platform and app are standard technology, not AI-powered products generating distinct revenue streams.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Sweetgreen Q2 2026 Financial Results — BusinessWire/StockTitan, August 6, 2026</w:t>
      </w:r>
    </w:p>
    <w:p>
      <w:pPr>
        <w:spacing w:before="20" w:after="20"/>
        <w:ind w:left="170"/>
      </w:pPr>
      <w:r>
        <w:rPr>
          <w:rFonts w:ascii="Calibri" w:hAnsi="Calibri"/>
          <w:b/>
          <w:color w:val="4A6B25"/>
          <w:sz w:val="15"/>
        </w:rPr>
        <w:t xml:space="preserve">2. </w:t>
      </w:r>
      <w:r>
        <w:rPr>
          <w:rFonts w:ascii="Calibri" w:hAnsi="Calibri"/>
          <w:b w:val="0"/>
          <w:color w:val="3A4A28"/>
          <w:sz w:val="17"/>
        </w:rPr>
        <w:t>Sweetgreen Q1 2026 Financial Results — BusinessWire, May 7,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StockAnalysis.com — SG Key Statistics and Valuation,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Sweetgreen Mission, Vision, and Culture — Company Website and Public Materials,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Sweetgreen Infinite Kitchen and Spyce Sale — Restaurant Business Online / BusinessWire, 2025-2026</w:t>
      </w:r>
    </w:p>
    <w:p>
      <w:pPr>
        <w:spacing w:before="20" w:after="20"/>
        <w:ind w:left="170"/>
      </w:pPr>
      <w:r>
        <w:rPr>
          <w:rFonts w:ascii="Calibri" w:hAnsi="Calibri"/>
          <w:b/>
          <w:color w:val="4A6B25"/>
          <w:sz w:val="15"/>
        </w:rPr>
        <w:t xml:space="preserve">6. </w:t>
      </w:r>
      <w:r>
        <w:rPr>
          <w:rFonts w:ascii="Calibri" w:hAnsi="Calibri"/>
          <w:b w:val="0"/>
          <w:color w:val="3A4A28"/>
          <w:sz w:val="17"/>
        </w:rPr>
        <w:t>Sweetgreen 2022 Impact Report — ESG Goals and Community Progress, BusinessWire, April 2023</w:t>
      </w:r>
    </w:p>
    <w:p>
      <w:pPr>
        <w:spacing w:before="20" w:after="20"/>
        <w:ind w:left="170"/>
      </w:pPr>
      <w:r>
        <w:rPr>
          <w:rFonts w:ascii="Calibri" w:hAnsi="Calibri"/>
          <w:b/>
          <w:color w:val="4A6B25"/>
          <w:sz w:val="15"/>
        </w:rPr>
        <w:t xml:space="preserve">7. </w:t>
      </w:r>
      <w:r>
        <w:rPr>
          <w:rFonts w:ascii="Calibri" w:hAnsi="Calibri"/>
          <w:b w:val="0"/>
          <w:color w:val="3A4A28"/>
          <w:sz w:val="17"/>
        </w:rPr>
        <w:t>Sweetgreen Glassdoor Reviews and Corporate Culture Assessment — Glassdoor/Built In,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