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SHC</w:t>
      </w:r>
      <w:r>
        <w:rPr>
          <w:rFonts w:ascii="Calibri" w:hAnsi="Calibri"/>
          <w:b/>
          <w:color w:val="1A2010"/>
          <w:sz w:val="40"/>
        </w:rPr>
        <w:t xml:space="preserve">  Sotera Health Company</w:t>
      </w:r>
    </w:p>
    <w:p>
      <w:pPr>
        <w:spacing w:after="120"/>
      </w:pPr>
      <w:r>
        <w:rPr>
          <w:rFonts w:ascii="Calibri" w:hAnsi="Calibri"/>
          <w:b/>
          <w:color w:val="6E8450"/>
          <w:sz w:val="18"/>
        </w:rPr>
        <w:t>GROWTH SLEEVE · 2026-09-09 · Inspire: 37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Instruments &amp; Supplies · NASDAQ · United States</w:t>
      </w:r>
    </w:p>
    <w:p>
      <w:pPr>
        <w:spacing w:after="80"/>
      </w:pPr>
      <w:r>
        <w:rPr>
          <w:rFonts w:ascii="Calibri" w:hAnsi="Calibri"/>
          <w:b w:val="0"/>
          <w:color w:val="3A4A28"/>
          <w:sz w:val="20"/>
        </w:rPr>
        <w:t>Sotera Health Company is a leading global provider of mission-critical sterilization and lab testing and advisory services for the healthcare industry. The company operates through three segments: Sterigenics (contract sterilization using ethylene oxide, gamma radiation, electron beam, and X-ray technologies), Nordion (cobalt-60 and gamma technologies for sterilization, medical, and industrial applications), and Nelson Labs (microbiological and analytical chemistry testing, consulting, and advisory services). Q2 2026 revenue increased 9.2% YoY with all three segments delivering growth, and the company raised its FY 2026 revenue guidance to $1.236-$1.254B. New CEO Alton Shader took the helm in May 2026. Headquartered in Broadview Heights, Ohio.</w:t>
      </w:r>
    </w:p>
    <w:p>
      <w:r>
        <w:rPr>
          <w:rFonts w:ascii="Calibri" w:hAnsi="Calibri"/>
          <w:b/>
          <w:color w:val="6E8450"/>
          <w:sz w:val="18"/>
        </w:rPr>
        <w:t>3,000 Employees · https://www.soterahealth.com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Sotera Health has delivered 20+ consecutive years of revenue growth — a remarkable consistency record [1]. Q2 2026 revenue increased 9.2% YoY (8.0% constant currency) with adjusted EBITDA up 10.0% and all three segments delivering growth: Sterigenics +7.0% CC, Nordion +16.7% CC, and Nelson Labs +5.4% CC [1]. H1 2026 revenue of $601M (+9.6%) demonstrates accelerating momentum, leading to a raised FY 2026 outlook of $1.236-$1.254B [1]. However, this growth is organic expansion of essential services rather than transformative innovation. AI Deployment (0/2): Sterilization and lab testing are fundamentally physical, regulated processes with minimal AI integration. No meaningful AI deployment has been disclosed by the company [2]. Market Share (2/2): Sotera Health is the global market leader in contract sterilization services through Sterigenics and in cobalt-60 supply through Nordion, processing approximately 40% of all medical devices sterilized worldwide — a critical infrastructure position in the healthcare supply chain [2]. Product Pipeline (0/2): The product pipeline is limited to incremental modality expansion (X-ray sterilization, electron beam) and geographic expansion rather than transformative new offerings. R&amp;D Intensity (1/1): Nelson Labs provides the innovation arm, offering microbiological testing, analytical chemistry, and regulatory consulting that keeps the company at the frontier of sterilization science and compliance.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Sotera Health's mission — safeguarding global health through essential sterilization and testing services — is genuinely meaningful, as every surgical kit, implantable device, and pharmaceutical product requires sterilization [2]. However, the mission's credibility is significantly undermined by the $408M Willowbrook, Illinois ethylene oxide settlement covering 879 claimants who alleged carcinogenic EtO emissions caused cancer in surrounding communities — a direct contradiction of the health-safety mission [3]. The denial of liability while paying $408M+ creates a trust deficit that the new CEO Alton Shader inherits. Community Impact (1/2): The EtO controversy reveals a tension between the company's healthcare mission and its environmental impact on surrounding communities [3]. While the Illinois settlement is substantially complete, ongoing litigation related to other facilities represents continuing reputational risk. Separate from the controversy, Sotera's sterilization services are genuinely essential to global health infrastructure. Employee Retention (1/2): The leadership transition from CEO Michael Petras to Alton Shader (May 2026) was described as planned and orderly, with Petras transitioning to Executive Chairman [2]. Shader brings experience running complex medical manufacturers, suggesting a strong cultural fit. Insider Buying (0/2): No notable individual insider buying identified, though institutional investor Khrom Capital Management accumulated a significant position of 365K+ shares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Sotera Health demonstrates exceptional operating performance with a 47.11% EBITDA margin and gross margin of 55.26%, reflecting the mission-critical nature and pricing power of its sterilization franchise [4]. ROE of 22.73% is strong and exceeds the 15% target [4]. Revenue growth of 9.2% YoY in Q2 is near the 10% target, and the raised FY 2026 guidance of $1.236-$1.254B signals continued momentum [1]. Forward P/E of 25.64 is above the 20 target but reasonable given the growth acceleration. The dominant weakness is the leveraged balance sheet: D/E of 359% reflects $2.27B in total debt, a legacy of private equity sponsorship [4]. This extreme leverage compresses GAAP profit margin to just 9.91% despite the 36.25% operating margin, as heavy interest expense consumes operating profit. No dividend. The stock clears the liquidity floor with daily trading value of ~$52M.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Sotera Health operates an essential health infrastructure business with inherent infinite game characteristics — sterilization will be needed as long as modern medicine exists, providing a permanently relevant purpose. The 20+ consecutive years of revenue growth suggest long-term orientation, and the orderly CEO transition from Petras to Shader demonstrates succession planning maturity [2]. However, the ethylene oxide litigation reveals a failure to prioritize community safety, the extreme leverage from PE sponsorship prioritizes financial returns over resilience, and new CEO Shader faces the challenge of resetting the company's relationship with environmental stakeholders [3].</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Sotera Health's purpose — safeguarding global health by ensuring medical devices, pharmaceuticals, and food products are safe for use — is inherently just and permanently relevant [2]. The company processes approximately 40% of all medical devices sterilized worldwide, making its work directly connected to patient safety. The cause is forward-looking (healthcare demand grows with population aging) and inclusive (every patient benefits from properly sterilized medical products). However, the $408M ethylene oxide settlement and community health allegations undermine the credibility of the health-safety mission when applied to surrounding communities rather than end-use patients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planned leadership transition from CEO Michael Petras to Alton Shader (effective May 2026) was executed smoothly with Petras transitioning to Executive Chairman, suggesting organizational trust and succession planning maturity [2]. Shader's background running a complex medical manufacturer provides relevant experience. Under Petras's tenure, revenue grew from $630M to $1.164B (2016-2025), suggesting stable leadership. However, the private equity heritage (Warburg Pincus, GTCR) typically creates financially-driven cultures, and the EtO litigation suggests trust deficits with external stakeholders.</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Sotera Health's dominant market position (40% of global medical device sterilization) means limited direct rivals of comparable scale. STERIS plc is the closest competitor. The EtO regulatory environment and emerging alternative sterilization modalities (X-ray, e-beam) serve as competitive pressures that drive technological diversification. The company's investment in alternative sterilization technologies beyond EtO suggests awareness of competitive and regulatory pressures, though the response has been more defensive than proactively innovative.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Sotera Health has shown some flexibility in diversifying sterilization modalities — investing in X-ray and electron beam capabilities as alternatives to ethylene oxide in response to regulatory and litigation pressure [3]. The three-segment structure (Sterigenics, Nordion, Nelson Labs) provides business model diversity, and Nordion's 16.7% CC growth in Q2 demonstrates the value of segment diversification [1]. However, the core business model has remained fundamentally unchanged for decades, and the response to EtO controversy has been more defensive than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20+ consecutive years of revenue growth required sustained execution discipline, and the leadership transition from Petras to Shader was managed proactively [1][2]. However, the response to ethylene oxide litigation — settling for $408M+ while denying liability — reflects pragmatic damage control rather than courageous environmental leadership [3]. The extreme leverage (D/E 359%) from private equity structuring prioritizes financial engineering over operational resilience, reflecting finite-game capital allocation. The new CEO Shader has an opportunity to demonstrate courage through proactive environmental initiatives, but has not yet had time to establish a track record.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Sotera Health is a mission-critical health infrastructure company with a dominant global position in contract sterilization — processing approximately 40% of all medical devices sterilized worldwide [2]. The business model delivers exceptional operating leverage with a 47.11% EBITDA margin and 55.26% gross margin, reflecting the essential, non-discretionary nature of the service [4]. Q2 2026 results showed accelerating momentum with revenue up 9.2% YoY, adjusted EBITDA up 10.0%, and adjusted EPS up 30%, leading to a raised FY 2026 revenue outlook of $1.236-$1.254B [1]. All three segments delivered growth, with Nordion leading at 16.7% constant currency growth and Nelson Labs showing 438 basis points of sequential margin improvement. The trailing PE has compressed from 44x to 33x, and ROE of 22.73% demonstrates strong return generation despite the leveraged balance sheet. Inspire Impact Score of 37 (ALIGNED) makes SHC accessible to faith-based investors.</w:t>
      </w:r>
    </w:p>
    <w:p>
      <w:pPr>
        <w:spacing w:after="120"/>
      </w:pPr>
      <w:r>
        <w:rPr>
          <w:rFonts w:ascii="Calibri" w:hAnsi="Calibri"/>
          <w:b w:val="0"/>
          <w:color w:val="3A4A28"/>
          <w:sz w:val="20"/>
        </w:rPr>
        <w:t>The bear case is dominated by two structural concerns. First, the balance sheet carries $2.27B in debt (D/E 359%), a legacy of private equity sponsorship that generates heavy interest expense and compresses GAAP profit margin to just 9.91% despite a 36.25% operating margin [4]. This leverage limits financial flexibility, creates refinancing risk, and means shareholders bear disproportionate downside in any revenue disruption scenario. Second, while the $408M Willowbrook ethylene oxide settlement covers 879 of 882 eligible claimants, ongoing litigation related to facilities in other U.S. states represents continuing tail risk [3]. The broader regulatory environment for EtO emissions is tightening, with new EPA rules requiring continuous monitoring that could increase compliance costs or force facility modifications. The forward PE of 25.64 is somewhat elevated for a single-digit revenue grower, and the single-supplier dependency for EtO and limited number of Co-60 source reactors create supply chain concentration risk [2]. New CEO Alton Shader (May 2026) must navigate ongoing litigation, regulatory pressure, and deleveraging simultaneously.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revenue growth acceleration across all three segments — Q2 showed Sterigenics +7.0%, Nordion +16.7%, and Nelson Labs +5.4% constant currency, with raised FY 2026 guidance to $1.236-$1.254B [1]</w:t>
      </w:r>
    </w:p>
    <w:p>
      <w:pPr>
        <w:spacing w:before="40" w:after="40"/>
        <w:ind w:left="283"/>
      </w:pPr>
      <w:r>
        <w:rPr>
          <w:rFonts w:ascii="Calibri" w:hAnsi="Calibri"/>
          <w:b/>
          <w:color w:val="4A6B25"/>
          <w:sz w:val="20"/>
        </w:rPr>
        <w:t xml:space="preserve">2. </w:t>
      </w:r>
      <w:r>
        <w:rPr>
          <w:rFonts w:ascii="Calibri" w:hAnsi="Calibri"/>
          <w:b w:val="0"/>
          <w:color w:val="3A4A28"/>
          <w:sz w:val="20"/>
        </w:rPr>
        <w:t>Deleveraging trajectory — applying growing free cash flow to debt reduction could materially improve the D/E ratio and release GAAP earnings power currently consumed by $200M+ annual interest expense [4]</w:t>
      </w:r>
    </w:p>
    <w:p>
      <w:pPr>
        <w:spacing w:before="40" w:after="40"/>
        <w:ind w:left="283"/>
      </w:pPr>
      <w:r>
        <w:rPr>
          <w:rFonts w:ascii="Calibri" w:hAnsi="Calibri"/>
          <w:b/>
          <w:color w:val="4A6B25"/>
          <w:sz w:val="20"/>
        </w:rPr>
        <w:t xml:space="preserve">3. </w:t>
      </w:r>
      <w:r>
        <w:rPr>
          <w:rFonts w:ascii="Calibri" w:hAnsi="Calibri"/>
          <w:b w:val="0"/>
          <w:color w:val="3A4A28"/>
          <w:sz w:val="20"/>
        </w:rPr>
        <w:t>Resolution of remaining ethylene oxide litigation in Georgia and other states could remove the legal overhang that has compressed the stock's valuation relative to healthcare service peers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leverage (D/E 359%, $2.27B total debt) creates refinancing risk, limits strategic flexibility, and compresses GAAP profitability to 9.91% despite exceptional 36.25% operating margins [4]</w:t>
      </w:r>
    </w:p>
    <w:p>
      <w:pPr>
        <w:spacing w:before="40" w:after="40"/>
        <w:ind w:left="283"/>
      </w:pPr>
      <w:r>
        <w:rPr>
          <w:rFonts w:ascii="Calibri" w:hAnsi="Calibri"/>
          <w:b/>
          <w:color w:val="4A6B25"/>
          <w:sz w:val="20"/>
        </w:rPr>
        <w:t xml:space="preserve">2. </w:t>
      </w:r>
      <w:r>
        <w:rPr>
          <w:rFonts w:ascii="Calibri" w:hAnsi="Calibri"/>
          <w:b w:val="0"/>
          <w:color w:val="3A4A28"/>
          <w:sz w:val="20"/>
        </w:rPr>
        <w:t>Ongoing ethylene oxide litigation beyond the $408M Illinois settlement — cases in other states represent continuing tail risk, and tightening EPA regulations on EtO emissions could increase compliance costs or force operational changes [3]</w:t>
      </w:r>
    </w:p>
    <w:p>
      <w:pPr>
        <w:spacing w:before="40" w:after="40"/>
        <w:ind w:left="283"/>
      </w:pPr>
      <w:r>
        <w:rPr>
          <w:rFonts w:ascii="Calibri" w:hAnsi="Calibri"/>
          <w:b/>
          <w:color w:val="4A6B25"/>
          <w:sz w:val="20"/>
        </w:rPr>
        <w:t xml:space="preserve">3. </w:t>
      </w:r>
      <w:r>
        <w:rPr>
          <w:rFonts w:ascii="Calibri" w:hAnsi="Calibri"/>
          <w:b w:val="0"/>
          <w:color w:val="3A4A28"/>
          <w:sz w:val="20"/>
        </w:rPr>
        <w:t>Supply chain concentration risk — Co-60 sourced under long-term contracts from a small number of Canadian and Russian reactors, and a single EO supplier for the U.S. sterilization business, exposing operations to geopolitical and supply disruptions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Sotera Health's core businesses are highly protected from AI disruption. Contract sterilization is a physical process — exposing medical devices to ethylene oxide gas, gamma radiation, or electron beams cannot be replicated or substituted by artificial intelligence [2]. The service requires specialized facilities, FDA/EPA regulatory approvals, and decades of operational expertise. Nordion's cobalt-60 supply business is even more AI-proof — nuclear material sourcing (Canadian and Russian reactors), processing, and supply chain management involve physical, regulatory, and safety barriers far beyond AI's reach. Nelson Labs' testing services involve physical sample handling and biological assays requiring wet-lab capabilities. The regulatory moat (FDA sterilization validation requirements, EPA emissions standards) provides additional protection — AI cannot bypass mandates for physical sterilization of medical devices. Limited risk vectors include AI-driven optimization by competitors and the longer-term possibility that AI-accelerated drug discovery could shift pharmaceutical formats in ways that change sterilization needs. AI Opportunity (1/1): Modest but real opportunities exist in AI-driven quality control, predictive maintenance for sterilization facilities, sterilization cycle parameter optimization, and Nelson Labs' data analytics capabilities for testing and advisory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Sotera Health Q2 FY2026 Financial Results — Revenue +9.2% YoY, Adjusted EBITDA +10.0%, Adjusted EPS $0.26 (+30%), FY 2026 Guidance Raised to $1.236-$1.254B, All Segments Growing — GlobeNewsWire, BioSpace, August 2026</w:t>
      </w:r>
    </w:p>
    <w:p>
      <w:pPr>
        <w:spacing w:before="20" w:after="20"/>
        <w:ind w:left="170"/>
      </w:pPr>
      <w:r>
        <w:rPr>
          <w:rFonts w:ascii="Calibri" w:hAnsi="Calibri"/>
          <w:b/>
          <w:color w:val="4A6B25"/>
          <w:sz w:val="15"/>
        </w:rPr>
        <w:t xml:space="preserve">2. </w:t>
      </w:r>
      <w:r>
        <w:rPr>
          <w:rFonts w:ascii="Calibri" w:hAnsi="Calibri"/>
          <w:b w:val="0"/>
          <w:color w:val="3A4A28"/>
          <w:sz w:val="17"/>
        </w:rPr>
        <w:t>Sotera Health Leadership &amp; Corporate Overview — CEO Alton Shader (May 2026), Former CEO Petras to Executive Chairman, Supply Chain Risk Factors, 40% Global Sterilization Market Share — Sterilization Summit, investors.soterahealth.com, 2026</w:t>
      </w:r>
    </w:p>
    <w:p>
      <w:pPr>
        <w:spacing w:before="20" w:after="20"/>
        <w:ind w:left="170"/>
      </w:pPr>
      <w:r>
        <w:rPr>
          <w:rFonts w:ascii="Calibri" w:hAnsi="Calibri"/>
          <w:b/>
          <w:color w:val="4A6B25"/>
          <w:sz w:val="15"/>
        </w:rPr>
        <w:t xml:space="preserve">3. </w:t>
      </w:r>
      <w:r>
        <w:rPr>
          <w:rFonts w:ascii="Calibri" w:hAnsi="Calibri"/>
          <w:b w:val="0"/>
          <w:color w:val="3A4A28"/>
          <w:sz w:val="17"/>
        </w:rPr>
        <w:t>Sotera Health Ethylene Oxide Litigation — $408M Illinois Settlement (879 Claimants), Ongoing Litigation in Other States, EPA Regulatory Oversight — investors.soterahealth.com, K&amp;L Gates, 2023-2026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SHC Key Statistics: PE 33.09, Forward PE 25.64, ROE 22.73%, D/E 359%, Profit Margin 9.91%, Gross Margin 55.26%, Stock Price ~$19,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