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SHO</w:t>
      </w:r>
      <w:r>
        <w:rPr>
          <w:rFonts w:ascii="Calibri" w:hAnsi="Calibri"/>
          <w:b/>
          <w:color w:val="1A2010"/>
          <w:sz w:val="40"/>
        </w:rPr>
        <w:t xml:space="preserve">  Sunstone Hotel Investors, Inc.</w:t>
      </w:r>
    </w:p>
    <w:p>
      <w:pPr>
        <w:spacing w:after="120"/>
      </w:pPr>
      <w:r>
        <w:rPr>
          <w:rFonts w:ascii="Calibri" w:hAnsi="Calibri"/>
          <w:b/>
          <w:color w:val="6E8450"/>
          <w:sz w:val="18"/>
        </w:rPr>
        <w:t>DIVIDEND SLEEVE · 2026-09-14 · Inspire: 26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Hotel &amp; Motel · NYSE · United States</w:t>
      </w:r>
    </w:p>
    <w:p>
      <w:pPr>
        <w:spacing w:after="80"/>
      </w:pPr>
      <w:r>
        <w:rPr>
          <w:rFonts w:ascii="Calibri" w:hAnsi="Calibri"/>
          <w:b w:val="0"/>
          <w:color w:val="3A4A28"/>
          <w:sz w:val="20"/>
        </w:rPr>
        <w:t>Sunstone Hotel Investors is a lodging real estate investment trust focused on the acquisition, active ownership, asset management, renovation, and disposition of well-located luxury, upper upscale, and upscale full-service hotels in the United States. The portfolio includes approximately 14 properties operated under Marriott, Hilton, and Hyatt brands in high-barrier coastal and urban markets. Q2 2026 revenue of $277.1M grew 6.7% YoY with RevPAR up 9.3% to $263.61, and management raised full-year guidance to Adjusted EBITDAre of $245-255M and FFO of $0.93-$0.98/share. Market cap approximately $2.2 billion.</w:t>
      </w:r>
    </w:p>
    <w:p>
      <w:r>
        <w:rPr>
          <w:rFonts w:ascii="Calibri" w:hAnsi="Calibri"/>
          <w:b/>
          <w:color w:val="6E8450"/>
          <w:sz w:val="18"/>
        </w:rPr>
        <w:t>37 Employees · https://www.sunstonehotels.com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Sunstone's primary innovation is the $214M acquisition and full renovation of Andaz Miami Beach, which contributed approximately 500bps to Q2 2026 portfolio RevPAR growth of 9.3% during its first full year of operations [1][2]. The company has also executed portfolio repositioning through selective dispositions and renovations, but these are standard REIT capital allocation moves rather than transformative product launches. AI Deployment (0/2): No evidence of AI-powered products or quantified AI-driven cost savings. Sunstone operates with only 37 corporate employees and relies on third-party hotel operators (Marriott, Hilton, Hyatt) for day-to-day management where AI adoption occurs at the operator level [3]. Market Share (1/2): Sunstone is a meaningful player in the upper upscale/luxury hotel REIT space with a ~$2.2B market cap, though significantly smaller than Host Hotels ($12B+) and Park Hotels ($3B+). The focused portfolio in high-barrier markets provides differentiation. Pipeline (1/2): Q2 2026 beat with RevPAR up 9.3% and raised FY2026 guidance to EBITDAre of $245-255M and FFO of $0.93-0.98/share, with full-year RevPAR growth for the 13-hotel portfolio now expected at 7-9% [2]. R&amp;D Intensity (1/1): Not applicable for a REIT, but Sunstone invests meaningfully in property renovations and capital improvements — the Long Beach Marriott and other renovation projects represent above-maintenance capital deployment.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Sunstone's stated strategy is 'to create long-term stakeholder value through the acquisition, active ownership, and disposition of well-located hotel and resort real estate' [3]. This is a purely financial objective interchangeable with any hotel REIT — it describes what the company does, not why it exists beyond profit. Community Impact (1/2): Sunstone publishes a Corporate Responsibility Report with 2035 environmental targets, all hotels participate in ESG programs, and the company signed the AHLA Five-Star Promise addressing harassment and human trafficking. ESG risk score of 15.2 (low risk) from Sustainalytics, and recognized by Newsweek as a top 300 Most Responsible Company [4]. Employee Retention (1/2): CEO Bryan Giglia has been with Sunstone since 2004 (22 years), rising from finance roles to CEO in 2022, reflecting strong internal development and loyalty in the lean 37-person corporate team [3]. However, Glassdoor reviews (small sample of 13) mention clique culture and backstabbing, limiting confidence in broader organizational trust. Insider Buying (0/2): No insider purchases recorded over the past 12 months. CIO Robert Springer sold shares ($1.04M) in June 2026, while the company executed corporate buybacks at attractive prices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REIT-specific GAAP distortions. D/E of 39% is excellent, well below the 70% target, reflecting conservative leverage [6]. ROE of 8.04% is below the 15% target but improving as Andaz Miami Beach ramps earnings. Q2 2026 revenue of $277.1M grew 6.7% YoY with year-to-date revenue growth of 8.7%, and the 5-year revenue CAGR of ~8% reflects strong post-pandemic recovery [1][2]. Forward P/E of ~50x scores 0.25 — this GAAP metric is severely distorted for REITs by non-cash depreciation; the more economically relevant P/FFO of ~11.7x (based on midpoint FFO guidance of $0.955/share) would score well below the 20x target [2]. GAAP profit margin of 2.6% is similarly distorted. FFO-based payout ratio of ~38% is well managed with room for growth. Consecutive years paid of 4 (post-COVID resumption in 2022) scores below the 10-year target at 2x weight, partially offset by strong 5-year dividend growth CAGR of ~8% scoring maximum at 2x weight. Liquidity: 1,650,532 avg volume x $11.15 = $18.4M daily — passes the $1M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Sunstone operates with a steady, long-term capital allocation approach — CEO Giglia's 22-year tenure, conservative 39% D/E leverage, and patient renovation-driven value creation suggest endurance-oriented thinking. However, the generic financial mission, lack of a deeper purpose beyond shareholder returns, and the fundamentally transactional nature of hotel REIT investing (buy, renovate, sell) limit the infinite game profile. The company plays to keep playing but does not play for a cause larger than itself.</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Sunstone's stated strategy — creating long-term stakeholder value through hotel real estate acquisition and disposition — is a financial objective, not a Just Cause [3]. There is no articulated vision of a better future, no service-oriented purpose beyond profit. The controversial removal of ESG policies from the 2025 Annual Report further suggests limited commitment to causes beyond financial returns [4]. Sinek would see no Just Cause here.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37 corporate employees, Sunstone operates as a tight-knit investment team where trust is built through proximity and long tenure. CEO Giglia's 22-year career at Sunstone, rising from finance roles to CEO in 2022, suggests a promote-from-within culture [3]. The lean structure requires high collaboration and trust. However, Glassdoor reviews (limited sample) mention clique dynamics and cultural challenges, and no specific turnover or satisfaction data beyond the small corporate team is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Sunstone's competitive posture focuses on its own portfolio quality and capital allocation discipline rather than attacking competitors. Management commentary on earnings calls emphasizes RevPAR growth, renovation returns, and shareholder value creation rather than framing the competitive landscape as a battle to win [2]. The company competes with Host Hotels, Park Hotels, and Pebblebrook but does not adopt adversarial language, instead using competitor performance as benchmarking context.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Sunstone has remained a hotel REIT since its founding in 1995, with no meaningful strategic pivot or business model transformation. The portfolio has shifted from select-service to upper upscale/luxury properties, and the Andaz Miami Beach represents a move further upmarket [1]. But these are incremental repositioning moves within the same fundamental business model of owning hotel real estate — the company has not demonstrated willingness to abandon its core model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Sunstone has shown some courageous capital allocation — the $214M Andaz Miami Beach acquisition and full renovation represented a significant bet for a ~$2B company, and the $500M buyback authorization with $40M executed at $9.24/share during market uncertainty showed conviction [2][5]. The decision to suspend the dividend during COVID rather than take on additional debt prioritized long-term balance sheet health. However, these are sound REIT management decisions rather than cause-driven sacrifices.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Sunstone Hotel Investors delivered a strong Q2 2026 — revenue of $277.1M grew 6.7% YoY, RevPAR surged 9.3% to $263.61, and management raised full-year guidance to Adjusted EBITDAre of $245-255M and FFO of $0.93-0.98/share [2]. The Andaz Miami Beach ramp contributed ~500bps to portfolio RevPAR growth during its first full year of operations, validating the $214M renovation investment [1]. At approximately 11.7x P/FFO with a 3.06% dividend yield and 38% FFO payout ratio, the valuation is reasonable with room for continued dividend growth. The conservative balance sheet (D/E 39%) and $500M buyback authorization provide capital flexibility, and the 13-hotel portfolio RevPAR guidance of 7-9% growth suggests continued momentum. CEO Giglia's 22-year tenure ensures institutional continuity and disciplined capital allocation [3].</w:t>
      </w:r>
    </w:p>
    <w:p>
      <w:pPr>
        <w:spacing w:after="120"/>
      </w:pPr>
      <w:r>
        <w:rPr>
          <w:rFonts w:ascii="Calibri" w:hAnsi="Calibri"/>
          <w:b w:val="0"/>
          <w:color w:val="3A4A28"/>
          <w:sz w:val="20"/>
        </w:rPr>
        <w:t>The bear case centers on SHO's structural limitations as a hotel REIT in the IOWN framework. GAAP metrics are severely distorted — trailing P/E of ~50x, profit margin of 2.6%, ROE of 8% — reflecting non-cash depreciation that understates economic profitability but penalizes the mechanical infrastructure score [6]. The Andaz Miami Beach, while a growth driver contributing ~500bps to RevPAR, introduces single-asset concentration risk for a ~14-property portfolio — any property-specific disruption (hurricane, renovation delay) would disproportionately impact results [1]. CIO Robert Springer's $1.04M share sale in June 2026 (the only insider transaction, no buying) is a modest negative signal [5]. Hotel REITs remain highly sensitive to consumer discretionary spending — macro slowdown would pressure RevPAR, occupancy, and property valuations. The controversial removal of ESG policies from the 2025 Annual Report without explanation raises governance questions [4]. With full operational dependence on third-party managers (Marriott, Hilton, Hyatt), Sunstone has limited direct control over labor costs and guest experience.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Andaz Miami Beach first full year of operations driving FY2026 earnings growth, with raised guidance for RevPAR growth of 7-9% and Adjusted EBITDAre of $245-255M — Q2 showed 9.3% portfolio RevPAR growth and detection/response ARR growing 5% [2]</w:t>
      </w:r>
    </w:p>
    <w:p>
      <w:pPr>
        <w:spacing w:before="40" w:after="40"/>
        <w:ind w:left="283"/>
      </w:pPr>
      <w:r>
        <w:rPr>
          <w:rFonts w:ascii="Calibri" w:hAnsi="Calibri"/>
          <w:b/>
          <w:color w:val="4A6B25"/>
          <w:sz w:val="20"/>
        </w:rPr>
        <w:t xml:space="preserve">2. </w:t>
      </w:r>
      <w:r>
        <w:rPr>
          <w:rFonts w:ascii="Calibri" w:hAnsi="Calibri"/>
          <w:b w:val="0"/>
          <w:color w:val="3A4A28"/>
          <w:sz w:val="20"/>
        </w:rPr>
        <w:t>Share repurchase program with $500M authorization providing buyback support — $40M executed at $9.24 avg and $26M in preferred repurchased at nearly 20% discount to liquidation value demonstrate value-oriented capital allocation [5]</w:t>
      </w:r>
    </w:p>
    <w:p>
      <w:pPr>
        <w:spacing w:before="40" w:after="40"/>
        <w:ind w:left="283"/>
      </w:pPr>
      <w:r>
        <w:rPr>
          <w:rFonts w:ascii="Calibri" w:hAnsi="Calibri"/>
          <w:b/>
          <w:color w:val="4A6B25"/>
          <w:sz w:val="20"/>
        </w:rPr>
        <w:t xml:space="preserve">3. </w:t>
      </w:r>
      <w:r>
        <w:rPr>
          <w:rFonts w:ascii="Calibri" w:hAnsi="Calibri"/>
          <w:b w:val="0"/>
          <w:color w:val="3A4A28"/>
          <w:sz w:val="20"/>
        </w:rPr>
        <w:t>FFO per share guidance of $0.93-$0.98 implies 15-20% growth versus FY2025, with FFO payout ratio of 38% leaving significant room for additional dividend increases beyond recent raises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Macro recession risk — hotel REITs are highly sensitive to consumer discretionary spending, and any economic slowdown would pressure RevPAR growth, occupancy rates, and property valuations below the 7-9% guided range [2]</w:t>
      </w:r>
    </w:p>
    <w:p>
      <w:pPr>
        <w:spacing w:before="40" w:after="40"/>
        <w:ind w:left="283"/>
      </w:pPr>
      <w:r>
        <w:rPr>
          <w:rFonts w:ascii="Calibri" w:hAnsi="Calibri"/>
          <w:b/>
          <w:color w:val="4A6B25"/>
          <w:sz w:val="20"/>
        </w:rPr>
        <w:t xml:space="preserve">2. </w:t>
      </w:r>
      <w:r>
        <w:rPr>
          <w:rFonts w:ascii="Calibri" w:hAnsi="Calibri"/>
          <w:b w:val="0"/>
          <w:color w:val="3A4A28"/>
          <w:sz w:val="20"/>
        </w:rPr>
        <w:t>Single-asset concentration risk from Andaz Miami Beach contributing approximately 500bps of portfolio RevPAR growth — any property-specific disruption (hurricane, renovation delay, competitive supply) would disproportionately impact results [1]</w:t>
      </w:r>
    </w:p>
    <w:p>
      <w:pPr>
        <w:spacing w:before="40" w:after="40"/>
        <w:ind w:left="283"/>
      </w:pPr>
      <w:r>
        <w:rPr>
          <w:rFonts w:ascii="Calibri" w:hAnsi="Calibri"/>
          <w:b/>
          <w:color w:val="4A6B25"/>
          <w:sz w:val="20"/>
        </w:rPr>
        <w:t xml:space="preserve">3. </w:t>
      </w:r>
      <w:r>
        <w:rPr>
          <w:rFonts w:ascii="Calibri" w:hAnsi="Calibri"/>
          <w:b w:val="0"/>
          <w:color w:val="3A4A28"/>
          <w:sz w:val="20"/>
        </w:rPr>
        <w:t>Limited operational control — Sunstone depends entirely on third-party hotel operators (Marriott, Hilton, Hyatt) for property management, giving it no direct control over labor costs, guest experience, or technology adoption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Sunstone's business — owning physical hotel and resort real estate in high-barrier coastal and urban markets — is structurally immune to AI disruption [1]. AI cannot replace the physical hotel experience, the land and buildings, or the location-based competitive advantages of properties like Andaz Miami Beach or Wailea Beach Resort. Hospitality may see AI-driven operational efficiencies (revenue management, dynamic pricing, chatbot concierge) but these benefit hotel owners through margin improvement rather than threatening the asset ownership model. As a REIT with only 37 employees and third-party operators managing properties, Sunstone faces essentially zero workforce displacement risk. The only modest AI risk is reduced business travel demand from virtual meeting technology, which is offset by growing leisure travel. AI Opportunity (0/1): Sunstone generates no direct AI-related revenue. Any AI benefits accrue through operator-level efficiencies (Marriott, Hilton, Hyatt implementations) passed through in improved hotel performance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Sunstone Hotel Investors Q1 2026 Earnings Release — Revenue $259.7M (+11% YoY), Adj EBITDAre $67.7M (+18.3%), FFO/share $0.27 (+28.6%), RevPAR up 14.6%, May 2026</w:t>
      </w:r>
    </w:p>
    <w:p>
      <w:pPr>
        <w:spacing w:before="20" w:after="20"/>
        <w:ind w:left="170"/>
      </w:pPr>
      <w:r>
        <w:rPr>
          <w:rFonts w:ascii="Calibri" w:hAnsi="Calibri"/>
          <w:b/>
          <w:color w:val="4A6B25"/>
          <w:sz w:val="15"/>
        </w:rPr>
        <w:t xml:space="preserve">2. </w:t>
      </w:r>
      <w:r>
        <w:rPr>
          <w:rFonts w:ascii="Calibri" w:hAnsi="Calibri"/>
          <w:b w:val="0"/>
          <w:color w:val="3A4A28"/>
          <w:sz w:val="17"/>
        </w:rPr>
        <w:t>Sunstone Hotel Investors Q2 2026 Earnings Release — Revenue $277.1M (+6.7% YoY), RevPAR $263.61 (+9.3%), Raised FY2026 Guidance: EBITDAre $245-255M, FFO $0.93-0.98/share, RevPAR Growth 7-9%, August 2026</w:t>
      </w:r>
    </w:p>
    <w:p>
      <w:pPr>
        <w:spacing w:before="20" w:after="20"/>
        <w:ind w:left="170"/>
      </w:pPr>
      <w:r>
        <w:rPr>
          <w:rFonts w:ascii="Calibri" w:hAnsi="Calibri"/>
          <w:b/>
          <w:color w:val="4A6B25"/>
          <w:sz w:val="15"/>
        </w:rPr>
        <w:t xml:space="preserve">3. </w:t>
      </w:r>
      <w:r>
        <w:rPr>
          <w:rFonts w:ascii="Calibri" w:hAnsi="Calibri"/>
          <w:b w:val="0"/>
          <w:color w:val="3A4A28"/>
          <w:sz w:val="17"/>
        </w:rPr>
        <w:t>Sunstone Hotel Investors Corporate Profile — CEO Bryan Giglia (22-year tenure), 37 employees, lifecycle investment approach; sunstonehotels.com,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Sunstone Hotel Investors ESG and Corporate Responsibility — 2024 CR Report, 2035 environmental targets, AHLA Five-Star Promise, Sustainalytics ESG score 15.2; KnowESG,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Sunstone Hotel Investors Insider and Capital Activity — CIO Springer $1.04M sale (June 2026), $500M buyback authorization, $40M executed at $9.24 avg; MarketBeat, Investing.com,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Yahoo Finance — SHO Financial Ratios: D/E 39%, ROE 8.04%, PE 49.68, Dividend Yield 3.06%, avg volume 1.65M;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