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SID</w:t>
      </w:r>
      <w:r>
        <w:rPr>
          <w:rFonts w:ascii="Calibri" w:hAnsi="Calibri"/>
          <w:b/>
          <w:color w:val="1A2010"/>
          <w:sz w:val="40"/>
        </w:rPr>
        <w:t xml:space="preserve">  Companhia Siderurgica Nacional</w:t>
      </w:r>
    </w:p>
    <w:p>
      <w:pPr>
        <w:spacing w:after="120"/>
      </w:pPr>
      <w:r>
        <w:rPr>
          <w:rFonts w:ascii="Calibri" w:hAnsi="Calibri"/>
          <w:b/>
          <w:color w:val="6E8450"/>
          <w:sz w:val="18"/>
        </w:rPr>
        <w:t>GROWTH SLEEVE · 2026-10-21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Steel · NYSE · Brazil</w:t>
      </w:r>
    </w:p>
    <w:p>
      <w:pPr>
        <w:spacing w:after="80"/>
      </w:pPr>
      <w:r>
        <w:rPr>
          <w:rFonts w:ascii="Calibri" w:hAnsi="Calibri"/>
          <w:b w:val="0"/>
          <w:color w:val="3A4A28"/>
          <w:sz w:val="20"/>
        </w:rPr>
        <w:t>Companhia Siderurgica Nacional (CSN) is a vertically integrated Brazilian steel and mining conglomerate operating across steel production, iron ore mining, cement manufacturing, and logistics. The company's Casa de Pedra iron ore mine is one of Brazil's largest, and its Presidente Vargas steelworks is a major flat steel producer. CSN trades as an ADR on NYSE with TTM revenue of approximately $8B (BRL), though it currently reports negative profit margins of -5.8% and negative ROE of -12.3% amid commodity price headwinds and elevated debt.</w:t>
      </w:r>
    </w:p>
    <w:p>
      <w:r>
        <w:rPr>
          <w:rFonts w:ascii="Calibri" w:hAnsi="Calibri"/>
          <w:b/>
          <w:color w:val="6E8450"/>
          <w:sz w:val="18"/>
        </w:rPr>
        <w:t>25,000 Employees · https://www.csn.com.br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CSN diversified from pure steel into iron ore mining, cement, and logistics over the past decade, creating a vertically integrated commodity conglomerate, but these moves were incremental extensions rather than transformative pivots [1]. The Holcim Brazil cement acquisition expanded the business but added leverage. AI Deployment (0/2): No evidence of meaningful AI deployment in CSN's mining, steel, or cement operations; the company lags global peers in digital transformation and Industry 4.0 adoption. Market Share (1/2): CSN is Brazil's third-largest flat steel producer behind Gerdau and ArcelorMittal Brazil, with meaningful market positions in automotive and construction steel; iron ore operations are significant but small relative to Vale [1]. Product Pipeline (0/2): No significant next-generation products or capacity expansions announced with specific timelines; the company is focused on deleveraging rather than growth capex. R&amp;D Intensity (1/1): R&amp;D spending is modest but in line with the Brazilian steel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CSN's stated purpose is generic — focused on sustainable growth and value creation for stakeholders — interchangeable with any industrial conglomerate. No distinctive mission beyond standard corporate language [1]. Community Impact (1/2): CSN operates the Fundacao CSN with social programs in Volta Redonda and mining communities, including education and health initiatives. However, the company has faced environmental fines and community conflicts at mining sites. Employee Retention (0/2): No published voluntary turnover or employee satisfaction data; CSN's workforce has experienced periodic layoffs linked to commodity downturns. Insider Buying (1/2): Controlling shareholder Benjamin Steinbruch maintains a significant stake through Vicunha Siderurgia, but recent transactions are primarily restructuring-related rather than open-market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357% exceeds the 300% floor (score 0.0), reflecting CSN's heavily leveraged capital structure — among the highest in the Brazilian steel sector [1][2]. ROE of -12.3% (score 0.0, 2x weight) is negative, indicating losses are destroying shareholder value. Revenue growth of 5.7% YoY (score 0.86) shows modest recovery. Forward P/E of 9.75 (score 1.0) represents deep value pricing. Profit margin of -5.8% (score 0.0) reflects operational challenges. PEG of 0.32 (score 1.0, 2x weight) indicates extreme value relative to expected earnings recovery. Daily dollar volume of $7.7M provides adequate liquidity for a micro-cap ADR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CSN operates with a predominantly finite mindset, focused on near-term debt management and commodity cycle optimization rather than long-term value creation. The controlling shareholder structure prioritizes financial engineering over strategic transformation, and the company's competitive language centers on market share capture rather than self-improvement.</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CSN's purpose is generic corporate language about sustainable growth and value creation, indistinguishable from any commodity company [1]. The company's strategic decisions are driven primarily by commodity prices and debt dynamics rather than a distinctive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CSN's workforce is large and geographically distributed across mining, steel, cement, and logistics operations. However, the company has a history of layoffs tied to commodity cycles, and the controlling shareholder structure creates top-down decision-making that limits organizational psychological safety [1].</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CSN's competitive discourse focuses on market share battles with Gerdau and ArcelorMittal Brazil in domestic steel, and with Vale in iron ore — language centered on winning rather than learning from rivals' strengths [1]. No evidence of using competitive intelligence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CSN's expansion from steel into iron ore, cement, and logistics shows some business model evolution, but these moves were opportunistic acquisitions during commodity booms rather than purpose-driven transformations [1]. The company has not demonstrated willingness to exit struggling businesses.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CSN took some bold acquisition bets (Holcim Brazil cement, iron ore expansion) but these added dangerous leverage without clear long-term strategic vision [1]. The company has not demonstrated willingness to sacrifice short-term performance for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CSN at $1.16 is a deep value play on Brazilian industrial recovery, trading at 9.75x forward earnings and 0.32 PEG with a vertically integrated commodity portfolio spanning steel, iron ore, cement, and logistics. The stock prices in significant distress — negative ROE, negative margins, and 357% D/E — creating asymmetric upside if management successfully deleverages and commodity prices recover [1][2].</w:t>
      </w:r>
    </w:p>
    <w:p>
      <w:pPr>
        <w:spacing w:after="120"/>
      </w:pPr>
      <w:r>
        <w:rPr>
          <w:rFonts w:ascii="Calibri" w:hAnsi="Calibri"/>
          <w:b w:val="0"/>
          <w:color w:val="3A4A28"/>
          <w:sz w:val="20"/>
        </w:rPr>
        <w:t>The bear case is substantial. D/E of 357% creates existential risk if interest rates remain elevated or commodity prices decline further. Negative ROE of -12.3% and negative profit margins indicate the business is destroying value at current commodity levels. Brazil's macro environment adds currency and political risk. Controlling shareholder Benjamin Steinbruch's financial engineering history raises governance concerns. The ADR at $1.16 reflects single-digit stock price risk, and no dividend is currently paid despite a historical track record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Iron ore price recovery above $120/ton would dramatically improve profitability given CSN's low-cost Casa de Pedra mine, with operating leverage amplifying earnings through the vertically integrated structure [1]</w:t>
      </w:r>
    </w:p>
    <w:p>
      <w:pPr>
        <w:spacing w:before="40" w:after="40"/>
        <w:ind w:left="283"/>
      </w:pPr>
      <w:r>
        <w:rPr>
          <w:rFonts w:ascii="Calibri" w:hAnsi="Calibri"/>
          <w:b/>
          <w:color w:val="4A6B25"/>
          <w:sz w:val="20"/>
        </w:rPr>
        <w:t xml:space="preserve">2. </w:t>
      </w:r>
      <w:r>
        <w:rPr>
          <w:rFonts w:ascii="Calibri" w:hAnsi="Calibri"/>
          <w:b w:val="0"/>
          <w:color w:val="3A4A28"/>
          <w:sz w:val="20"/>
        </w:rPr>
        <w:t>Deleveraging progress through non-core asset sales and cash flow generation could reduce D/E below 300%, unlocking equity value currently suppressed by balance sheet concerns [1]</w:t>
      </w:r>
    </w:p>
    <w:p>
      <w:pPr>
        <w:spacing w:before="40" w:after="40"/>
        <w:ind w:left="283"/>
      </w:pPr>
      <w:r>
        <w:rPr>
          <w:rFonts w:ascii="Calibri" w:hAnsi="Calibri"/>
          <w:b/>
          <w:color w:val="4A6B25"/>
          <w:sz w:val="20"/>
        </w:rPr>
        <w:t xml:space="preserve">3. </w:t>
      </w:r>
      <w:r>
        <w:rPr>
          <w:rFonts w:ascii="Calibri" w:hAnsi="Calibri"/>
          <w:b w:val="0"/>
          <w:color w:val="3A4A28"/>
          <w:sz w:val="20"/>
        </w:rPr>
        <w:t>Brazilian infrastructure spending under government programs drives domestic steel and cement demand, with CSN positioned as a vertically integrated supplier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357% creates existential risk — further iron ore or steel price declines could trigger covenant breaches or require dilutive equity raises that destroy shareholder value [1][2]</w:t>
      </w:r>
    </w:p>
    <w:p>
      <w:pPr>
        <w:spacing w:before="40" w:after="40"/>
        <w:ind w:left="283"/>
      </w:pPr>
      <w:r>
        <w:rPr>
          <w:rFonts w:ascii="Calibri" w:hAnsi="Calibri"/>
          <w:b/>
          <w:color w:val="4A6B25"/>
          <w:sz w:val="20"/>
        </w:rPr>
        <w:t xml:space="preserve">2. </w:t>
      </w:r>
      <w:r>
        <w:rPr>
          <w:rFonts w:ascii="Calibri" w:hAnsi="Calibri"/>
          <w:b w:val="0"/>
          <w:color w:val="3A4A28"/>
          <w:sz w:val="20"/>
        </w:rPr>
        <w:t>Negative ROE of -12.3% and -5.8% profit margin indicate the business is operationally unprofitable at current commodity levels, with no clear timeline for margin recovery [2]</w:t>
      </w:r>
    </w:p>
    <w:p>
      <w:pPr>
        <w:spacing w:before="40" w:after="40"/>
        <w:ind w:left="283"/>
      </w:pPr>
      <w:r>
        <w:rPr>
          <w:rFonts w:ascii="Calibri" w:hAnsi="Calibri"/>
          <w:b/>
          <w:color w:val="4A6B25"/>
          <w:sz w:val="20"/>
        </w:rPr>
        <w:t xml:space="preserve">3. </w:t>
      </w:r>
      <w:r>
        <w:rPr>
          <w:rFonts w:ascii="Calibri" w:hAnsi="Calibri"/>
          <w:b w:val="0"/>
          <w:color w:val="3A4A28"/>
          <w:sz w:val="20"/>
        </w:rPr>
        <w:t>Controlling shareholder governance risk — Benjamin Steinbruch's history of complex related-party transactions and financial engineering raises concerns about minority shareholder alignment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Steel production, iron ore mining, and cement manufacturing are physical-world industrial operations that AI cannot substitute — these require blast furnaces, mining equipment, and logistics infrastructure that no algorithm can replace [1]. AI data centers and renewable energy infrastructure (solar panels, wind turbines, EVs) increase demand for steel and construction materials, making CSN an indirect beneficiary. However, CSN's lack of AI adoption in operations means it may lose competitiveness to digitally advanced steel peers like POSCO and Nucor. AI Opportunity (1/1): Rising AI infrastructure investment drives steel demand for data center construction, electrical infrastructure, and server racks, providing an indirect revenue tailwind even though CSN generates no direct AI-related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CSN Mineracao and CSN corporate filings — operational data, financial metrics, deleveraging progress, accessed October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SID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