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SKIL</w:t>
      </w:r>
      <w:r>
        <w:rPr>
          <w:rFonts w:ascii="Calibri" w:hAnsi="Calibri"/>
          <w:b/>
          <w:color w:val="1A2010"/>
          <w:sz w:val="40"/>
        </w:rPr>
        <w:t xml:space="preserve">  Skillsoft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39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Education &amp; Training Services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Skillsoft provides corporate learning content and platforms through Talent Development Solutions ($404M) and Global Knowledge ($109M, down 13%). FY2026 revenue fell 3.4% to $513M with adjusted EBITDA of $110M (21% margin) and free cash flow of only $6M versus $12M, and the $51M market cap reflects heavy leverage.</w:t>
      </w:r>
    </w:p>
    <w:p>
      <w:r>
        <w:rPr>
          <w:rFonts w:ascii="Calibri" w:hAnsi="Calibri"/>
          <w:b/>
          <w:color w:val="6E8450"/>
          <w:sz w:val="18"/>
        </w:rPr>
        <w:t>https://www.skillsoft.com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1: AI skills platform and coaching rollout under new CEO Jeff Tarr [1][2]. AI 1: employees describe an AI-first culture but no quantified AI revenue or savings found [2]. Share 1: meaningful but not leading player in corporate learning; R&amp;D 1: near industry average; no named pipeline (0).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2: clear learning-for-workforce mission, not distinctive [1]. Glassdoor shows only 40% recommend, 2.8/5 culture and values, so retention scores 0 [2]; no insider buying or community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72,892 avg daily shares x $5.64 = about $411K, below $1M, so Infrastructure = 0. D/E and ROE unavailable.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Revenue declining, morale low and leadership turnover; operating for survival under leverage rather than a long-term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Purpose to democratize learning exists but reads as marketing and has not shaped consistent strategy through repeated leadership changes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Glassdoor: 40% recommend, 2.8/5 culture, morale described as at an all-time low under new CEO, with frequent executive churn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evidence of worthy-rival mindset.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Evolved from content library to AI skills platform; incremental adaptation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Investing in AI-first product during revenue decline is one costly bet, but largely forced by market pressure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Skillsoft holds $404M of Talent Development revenue (flat) and 21% adjusted EBITDA margins, with an AI-first pivot that could stabilize content demand [1]. A 1.2x forward P/E signals deep-value optionality if free cash flow improves.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FY2026 revenue fell 3.4% to $513M, Global Knowledge fell 13%, free cash flow halved to $6M and GAAP margin is -32%, with a $51M market cap against a leveraged balance sheet [1]. GenAI directly substitutes standardized training content, employee sentiment is poor (2.8/5 culture), and daily dollar volume of about $411K fails the liquidity floor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Traction for the AI Skills platform stabilizing Talent Development revenue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Debt refinancing or restructuring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Return to growth with enterprise purchasing recovery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GenAI tutors and free content commoditize the core library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Leverage versus $6M free cash flow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Cultural erosion and executive turnover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Generative AI directly commoditizes standardized skills content and course libraries, Skillsoft's core revenue, while global knowledge instructor-led training is declining 13% [1]. Enterprise purchasing is cautious and the company has no clear moat against AI tutors; no AI revenue is quantified.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Skillsoft Q4 and FY2026 Results, investor.skillsoft.com,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Skillsoft Glassdoor reviews and leadership, Glassdoor,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