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SLDE</w:t>
      </w:r>
      <w:r>
        <w:rPr>
          <w:rFonts w:ascii="Calibri" w:hAnsi="Calibri"/>
          <w:b/>
          <w:color w:val="1A2010"/>
          <w:sz w:val="40"/>
        </w:rPr>
        <w:t xml:space="preserve">  Slide Insurance Holdings, Inc.</w:t>
      </w:r>
    </w:p>
    <w:p>
      <w:pPr>
        <w:spacing w:after="120"/>
      </w:pPr>
      <w:r>
        <w:rPr>
          <w:rFonts w:ascii="Calibri" w:hAnsi="Calibri"/>
          <w:b/>
          <w:color w:val="6E8450"/>
          <w:sz w:val="18"/>
        </w:rPr>
        <w:t>GROWTH SLEEVE · 2026-09-17 · Inspire: 25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NASDAQ · United States</w:t>
      </w:r>
    </w:p>
    <w:p>
      <w:pPr>
        <w:spacing w:after="80"/>
      </w:pPr>
      <w:r>
        <w:rPr>
          <w:rFonts w:ascii="Calibri" w:hAnsi="Calibri"/>
          <w:b w:val="0"/>
          <w:color w:val="3A4A28"/>
          <w:sz w:val="20"/>
        </w:rPr>
        <w:t>Slide Insurance Holdings underwrites coastal specialty personal lines insurance in Florida, including homeowners, condominium, and commercial residential policies, plus reinsurance and agency services. Founded in 2021 by Bruce and Shannon Lucas — who previously built Heritage Insurance to over $1B in revenue — Slide entered the Florida market as major national carriers retreated from hurricane-exposed coastal risk. The company completed its IPO in 2024 and reported FY2025 revenue of $1.16B (+36.5%) and net income of $444.0M (+120.7%), with FY2026 guidance of $1.85-1.95B in gross written premiums.</w:t>
      </w:r>
    </w:p>
    <w:p>
      <w:r>
        <w:rPr>
          <w:rFonts w:ascii="Calibri" w:hAnsi="Calibri"/>
          <w:b/>
          <w:color w:val="6E8450"/>
          <w:sz w:val="18"/>
        </w:rPr>
        <w:t>627 Employees · https://www.slideinsurance.com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(1/2): Co-founders Bruce and Shannon Lucas previously scaled Heritage Insurance from startup to over $1B in revenue before founding Slide in 2021, and Slide has replicated that trajectory with FY2025 revenue of $1.16B (+36.5%) and net income growing 120.7% to $444.0M [1]. AI Deployment (1/2): Slide's CIO has embedded data analytics and selective AI use cases directly into underwriting and claims workflows to sharpen risk selection, while emphasizing a deliberately conservative adoption posture — 'we have to be responsible about what we are adopting' [2]. Market Share (1/1): Slide has rapidly captured share in Florida's homeowners market precisely where national carriers (State Farm, Farmers, AIG) have exited due to hurricane risk, filling a critical coverage gap. Pipeline (1/1): 2026 guidance of $1.85-1.95B in gross written premiums and Q2 2026 revenue growth of 47.9% signal continued underwriting capacity expansion into adjacent coastal states beyond Florida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Slide's stated purpose is to provide reliable coastal property coverage where competitors have fled — a genuine market-need mission, though not framed with distinctive language beyond standard insurer positioning. Community Impact (2/2): The company's 'Slide It Forward' value commits to community resilience and disaster-recovery support in the hurricane-prone Florida market, and its 'Empower Differences' and 'Enjoy the Journey' values signal an intentional, employee-centered culture across its 627-person workforce [2]. Employee Retention (1/2): The intrapreneurship-oriented culture ('Be an Intrapreneur,' 'Keep It Real') suggests engagement, though no independently verified turnover or tenure data is available for the still-young, pre-2024-IPO organization. Insider Buying (0/2): No evidence of recent net insider buying beyond founders' pre-IPO retained ownership stakes.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growth-sleeve metrics (PEG and Revenue 5yr CAGR unavailable given Slide's 2024 IPO; excluded from weighting per methodology). All available metrics scored at or near the maximum: D/E of 3.2% is dramatically below the 70% target (score 1.0), ROE of 53.9% is more than 3.5x the 15% target (score 1.0, 2x weight), revenue grew 47.9% YoY versus the 10% target (score 1.0), forward P/E of 6.95 sits far below the 20x target (score 1.0), and profit margin of 40.0% is double the 20% target (score 1.0) [1][4]. This produces a near-perfect mechanical result, tempered modestly to 9/10 to reflect single-state (Florida) catastrophe-peril concentration and the absence of a track record through a full hurricane/reinsurance cycle — risks the snapshot metrics do not capture. Average daily dollar volume of ~$31.8M clears the liquidity floor with room to spare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Slide's founders built a second insurance company from scratch specifically to serve Florida homeowners abandoned by national carriers — a genuine long-horizon bet on an underserved, difficult market rather than a quarter-to-quarter trade. The intrapreneurial, community-resilience-oriented culture and rapid, disciplined growth (GWP guidance of $1.85-1.95B for 2026) support an infinite orientation, though the company's short public track record and concentrated Florida hurricane exposure leave real questions about how it will play across a full catastrophe cycle.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Slide exists to keep Florida homeowners insured as major national carriers exit hurricane-exposed coastal markets — addressing a genuine, worsening market failure rather than chasing an easy underwriting book [1]. The 'Slide It Forward' community-resilience commitment reinforces the stated purpose, though the cause has not yet been tested through a major storm season as a public company.</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plus culture evidence): Core values including 'Empower Differences,' 'Keep It Real,' and 'Enjoy the Journey' signal a deliberately employee-centered culture across the 627-person workforce, and the CIO's 'responsible AI adoption' stance reflects a measured, non-top-down approach to technology change [2]. No independent retention or engagement survey data is available to corroborate beyond stated values.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Slide operates alongside Citizens Property Insurance (Florida's state-run insurer of last resort) and other specialty carriers with underwriting discipline rather than a land-grab mentality, but limited public commentary exists on how leadership frames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partial): Guidance of $1.85-1.95B GWP for 2026 versus $1.16B FY2025 revenue signals active expansion of underwriting capacity and likely geographic diversification beyond Florida, reducing single-state concentration risk over time [1]. This is a proactive capital-and-growth strategy rather than reactive crisis response.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Founding a new coastal-catastrophe insurer in 2021 — deliberately entering the highest-risk homeowners market in the U.S. at the moment competitors were fleeing it — is a contrarian, capital-intensive bet that few management teams would make, and it has been validated by 120.7% net income growth in FY2025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Slide Insurance trades at just 6.4x trailing and 6.95x forward earnings despite FY2025 net income growth of 120.7% to $444.0M on revenue of $1.16B (+36.5%), with 2026 guidance calling for $455-470M in net income on $1.85-1.95B of gross written premiums [1]. ROE of 53.9% and profit margins of 40% reflect disciplined underwriting in a Florida homeowners market where Slide has filled the vacuum left by national carriers' retreat from hurricane risk. Founders Bruce and Shannon Lucas previously built Heritage Insurance to $1B+ in revenue, giving Slide proven execution DNA in exactly this niche, and the company's CIO-led, 'responsibly adopted' AI investment in underwriting and claims should continue to compound loss-ratio advantages [1][2].</w:t>
      </w:r>
    </w:p>
    <w:p>
      <w:pPr>
        <w:spacing w:after="120"/>
      </w:pPr>
      <w:r>
        <w:rPr>
          <w:rFonts w:ascii="Calibri" w:hAnsi="Calibri"/>
          <w:b w:val="0"/>
          <w:color w:val="3A4A28"/>
          <w:sz w:val="20"/>
        </w:rPr>
        <w:t>The bear case is concentration risk: Slide's book is overwhelmingly Florida coastal property exposure, meaning a single severe hurricane season or adverse reinsurance-market repricing could sharply compress the earnings and ROE that justify today's cheap multiple — a risk the current mechanical financial metrics, drawn from a still-young public company with under two years of trading history, cannot fully capture. D/E of just 3.2% reflects minimal debt leverage, but underwriting leverage (premium-to-surplus) and reinsurance counterparty risk are the more relevant risk levers for a catastrophe-exposed insurer and are not visible in standard equity ratios. Average daily dollar volume of ~$31.8M provides adequate but not deep liquidity for a name still building an institutional shareholder base post-2024 IPO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guidance of $1.85-1.95B gross written premiums and $455-470M net income, following 47.9% Q2 2026 revenue growth, suggests continued market-share capture from carriers exiting Florida [1]</w:t>
      </w:r>
    </w:p>
    <w:p>
      <w:pPr>
        <w:spacing w:before="40" w:after="40"/>
        <w:ind w:left="283"/>
      </w:pPr>
      <w:r>
        <w:rPr>
          <w:rFonts w:ascii="Calibri" w:hAnsi="Calibri"/>
          <w:b/>
          <w:color w:val="4A6B25"/>
          <w:sz w:val="20"/>
        </w:rPr>
        <w:t xml:space="preserve">2. </w:t>
      </w:r>
      <w:r>
        <w:rPr>
          <w:rFonts w:ascii="Calibri" w:hAnsi="Calibri"/>
          <w:b w:val="0"/>
          <w:color w:val="3A4A28"/>
          <w:sz w:val="20"/>
        </w:rPr>
        <w:t>AI-embedded underwriting and claims workflows under a disciplined 'responsible adoption' framework could continue improving loss ratios and claims-cycle speed [2]</w:t>
      </w:r>
    </w:p>
    <w:p>
      <w:pPr>
        <w:spacing w:before="40" w:after="40"/>
        <w:ind w:left="283"/>
      </w:pPr>
      <w:r>
        <w:rPr>
          <w:rFonts w:ascii="Calibri" w:hAnsi="Calibri"/>
          <w:b/>
          <w:color w:val="4A6B25"/>
          <w:sz w:val="20"/>
        </w:rPr>
        <w:t xml:space="preserve">3. </w:t>
      </w:r>
      <w:r>
        <w:rPr>
          <w:rFonts w:ascii="Calibri" w:hAnsi="Calibri"/>
          <w:b w:val="0"/>
          <w:color w:val="3A4A28"/>
          <w:sz w:val="20"/>
        </w:rPr>
        <w:t>Founder track record of scaling Heritage Insurance to $1B+ revenue supports confidence in Slide's ability to execute a multi-state expansion beyond its Florida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Concentrated Florida hurricane-peril exposure means a single severe storm season or reinsurance-market hardening could sharply compress the 53.9% ROE and 40% profit margin underpinning the current valuation [1][4]</w:t>
      </w:r>
    </w:p>
    <w:p>
      <w:pPr>
        <w:spacing w:before="40" w:after="40"/>
        <w:ind w:left="283"/>
      </w:pPr>
      <w:r>
        <w:rPr>
          <w:rFonts w:ascii="Calibri" w:hAnsi="Calibri"/>
          <w:b/>
          <w:color w:val="4A6B25"/>
          <w:sz w:val="20"/>
        </w:rPr>
        <w:t xml:space="preserve">2. </w:t>
      </w:r>
      <w:r>
        <w:rPr>
          <w:rFonts w:ascii="Calibri" w:hAnsi="Calibri"/>
          <w:b w:val="0"/>
          <w:color w:val="3A4A28"/>
          <w:sz w:val="20"/>
        </w:rPr>
        <w:t>Less than two years of public trading history and no track record through a full multi-year catastrophe cycle limits confidence that current mechanical financial metrics are representative of steady-state risk-adjusted returns [4]</w:t>
      </w:r>
    </w:p>
    <w:p>
      <w:pPr>
        <w:spacing w:before="40" w:after="40"/>
        <w:ind w:left="283"/>
      </w:pPr>
      <w:r>
        <w:rPr>
          <w:rFonts w:ascii="Calibri" w:hAnsi="Calibri"/>
          <w:b/>
          <w:color w:val="4A6B25"/>
          <w:sz w:val="20"/>
        </w:rPr>
        <w:t xml:space="preserve">3. </w:t>
      </w:r>
      <w:r>
        <w:rPr>
          <w:rFonts w:ascii="Calibri" w:hAnsi="Calibri"/>
          <w:b w:val="0"/>
          <w:color w:val="3A4A28"/>
          <w:sz w:val="20"/>
        </w:rPr>
        <w:t>Regulatory and legislative risk in Florida property insurance (rate approval processes, tort reform durability) could pressure pricing power if the current favorable legal environment shifts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Slide's core business — underwriting and pricing coastal catastrophe risk backed by regulatory licensing, reinsurance treaties, and claims-paying capital — is structurally insulated from AI substitution; no AI model replaces the capital base and state licensure required to write Florida property insurance [1]. AI Opportunity (1/1): Slide's CIO has embedded AI and advanced data analytics directly into underwriting and claims workflows to accelerate risk selection and claims resolution, deploying AI as a margin and speed enabler with a stated 'responsible adoption' governance posture rather than treating it as a threat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Slide Insurance Q1 and Q2 2026 Earnings Releases — GlobeNewswire, Slide Insurance Investor Relations, April-August 2026</w:t>
      </w:r>
    </w:p>
    <w:p>
      <w:pPr>
        <w:spacing w:before="20" w:after="20"/>
        <w:ind w:left="170"/>
      </w:pPr>
      <w:r>
        <w:rPr>
          <w:rFonts w:ascii="Calibri" w:hAnsi="Calibri"/>
          <w:b/>
          <w:color w:val="4A6B25"/>
          <w:sz w:val="15"/>
        </w:rPr>
        <w:t xml:space="preserve">2. </w:t>
      </w:r>
      <w:r>
        <w:rPr>
          <w:rFonts w:ascii="Calibri" w:hAnsi="Calibri"/>
          <w:b w:val="0"/>
          <w:color w:val="3A4A28"/>
          <w:sz w:val="17"/>
        </w:rPr>
        <w:t>Insurance Business Magazine — 'Slide Insurance CIO on AI: we have to be responsible about what we are adopting', 2026</w:t>
      </w:r>
    </w:p>
    <w:p>
      <w:pPr>
        <w:spacing w:before="20" w:after="20"/>
        <w:ind w:left="170"/>
      </w:pPr>
      <w:r>
        <w:rPr>
          <w:rFonts w:ascii="Calibri" w:hAnsi="Calibri"/>
          <w:b/>
          <w:color w:val="4A6B25"/>
          <w:sz w:val="15"/>
        </w:rPr>
        <w:t xml:space="preserve">3. </w:t>
      </w:r>
      <w:r>
        <w:rPr>
          <w:rFonts w:ascii="Calibri" w:hAnsi="Calibri"/>
          <w:b w:val="0"/>
          <w:color w:val="3A4A28"/>
          <w:sz w:val="17"/>
        </w:rPr>
        <w:t>Umbrex / Dallas Innovates — Slide Insurance company strategy, culture and leadership profile,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SLDE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