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SLG</w:t>
      </w:r>
      <w:r>
        <w:rPr>
          <w:rFonts w:ascii="Calibri" w:hAnsi="Calibri"/>
          <w:b/>
          <w:color w:val="1A2010"/>
          <w:sz w:val="40"/>
        </w:rPr>
        <w:t xml:space="preserve">  SL Green Realty Corp.</w:t>
      </w:r>
    </w:p>
    <w:p>
      <w:pPr>
        <w:spacing w:after="120"/>
      </w:pPr>
      <w:r>
        <w:rPr>
          <w:rFonts w:ascii="Calibri" w:hAnsi="Calibri"/>
          <w:b/>
          <w:color w:val="6E8450"/>
          <w:sz w:val="18"/>
        </w:rPr>
        <w:t>DIVIDEND SLEEVE · 2026-09-22 · Inspire: 60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Office · NYSE · United States</w:t>
      </w:r>
    </w:p>
    <w:p>
      <w:pPr>
        <w:spacing w:after="80"/>
      </w:pPr>
      <w:r>
        <w:rPr>
          <w:rFonts w:ascii="Calibri" w:hAnsi="Calibri"/>
          <w:b w:val="0"/>
          <w:color w:val="3A4A28"/>
          <w:sz w:val="20"/>
        </w:rPr>
        <w:t>SL Green Realty Corp. is Manhattan's largest office landlord, a fully integrated REIT focused on acquiring, managing, and maximizing the value of Manhattan commercial properties. As of June 2026, SLG held interests in 54 buildings totaling 30.6 million square feet. The company is led by CEO and Chairman Marc Holliday (CEO since 2004, Chairman since 2019), whose term was recently extended through July 2028. SLG raised 2026 FFO guidance to $5.60-$5.90/share, reflecting strong leasing activity with occupancy trending toward 95% by year-end 2026. One Vanderbilt Avenue serves as the crown jewel of the portfolio, generating incremental fees and income.</w:t>
      </w:r>
    </w:p>
    <w:p>
      <w:r>
        <w:rPr>
          <w:rFonts w:ascii="Calibri" w:hAnsi="Calibri"/>
          <w:b/>
          <w:color w:val="6E8450"/>
          <w:sz w:val="18"/>
        </w:rPr>
        <w:t>1,289 Employees · https://www.slgreen.com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SL Green's development of One Vanderbilt Avenue — a 1,401-foot supertall tower and NYC's fourth-tallest building, including the Summit observation experience — represents a significant execution achievement that opened new revenue streams (tourism, events) beyond traditional office leasing [1]. However, this is a single trophy project rather than a pattern of innovation, and the core business model (acquire, lease, manage Manhattan office space) remains unchanged from 20 years ago. AI Deployment (0/2): No evidence of AI products, AI-driven operational savings, or meaningful AI strategy. SL Green operates as a traditional REIT with standard building management systems [2]. Market Share (1/2): Manhattan's largest office landlord with 30.6 million square feet and dominant presence in Midtown — a meaningful market leadership position in the most valuable office market globally [1]. However, office REITs are not defining or leading a new category. Product Pipeline (0/2): Strong leasing pipeline (occupancy trending to 95% by year-end 2026, same-store NOI growth &gt;10% projected for 2027) but these are standard REIT operating metrics, not next-generation products [1]. R&amp;D Intensity (0/1): REITs do not invest in R&amp;D; value creation is through development, leasing, and capital recycling.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SL Green's purpose centers on 'acquiring, managing and maximizing the value of Manhattan commercial properties' — a purely commercial objective with no articulated social purpose or vision beyond profit maximization [2]. Marc Holliday describes the strategy as 'continuous repositioning and strategic upgrading of the portfolio,' which is a business execution framework, not a Just Cause. This is interchangeable with any office REIT's mission statement. Community Impact (1/2): SL Green contributes to NYC's built environment through trophy developments like One Vanderbilt, LEED-certified properties, and the Summit public observation experience. The company earned ENERGY STAR Partner of the Year for Sustained Excellence and scored 92 on GRESB (3rd out of 108 Americas-listed companies) [3]. These represent meaningful community contributions through building excellence and environmental stewardship. Employee Retention (1/2): Marc Holliday's 22-year CEO tenure and 28 years with the company demonstrates exceptional leadership continuity [2]. The CEO extension through 2028 signals board confidence and organizational stability. The 1,289-person workforce is small enough for cohesive culture. However, no specific employee retention or satisfaction data was found. Insider Buying (0/2): Recent insider transactions show net selling — President Harrison Sitomer sold $2.3M in shares, Director Carol Brown sold $182K, with no open-market purchases identified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Note: REIT GAAP metrics structurally disadvantage this category due to high depreciation (negative GAAP earnings despite positive FFO of $5.60-$5.90/share) [1]. D/E of 142.6% scores 0.68 — elevated but typical for a leveraged REIT. ROE of -3.6% scores 0 (below floor), reflecting GAAP depreciation. Revenue growth YoY of 27.3% scores 1.0, driven by Q2 2026 revenue of $278.9M vs $219.1M in Q2 2025 [1]. Estimated 5yr revenue CAGR of ~1% based on relatively flat revenue from FY2022 ($919M) to FY2025 ($940M). Forward P/E of -69.6x (negative GAAP earnings) scores 0. Profit margin of -16.7% scores 0. Payout ratio of 153.75% exceeds the 100% floor, scoring 0. Consecutive years paid is 29+ (since 1997), scoring 1.0 with 2x weight. Consecutive years growth is 0 (dividend has declined 4 consecutive years from 2021 peak of $6.27 to 2025 annualized $2.84), scoring 0. 5yr dividend growth CAGR of -10.5% scores 0. Liquidity is adequate at ~$51.3M average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SL Green operates with a finite game orientation — the company's purpose is clearly about winning in Manhattan office real estate rather than advancing a cause that transcends the business. Marc Holliday's 22-year CEO tenure provides stability, and the commitment to Midtown Manhattan through multiple market cycles shows conviction, but the strategic language is consistently about 'maximizing value,' 'strategic upgrading,' and shareholder returns rather than a broader purpose [2]. The One Vanderbilt development and commitment to environmental excellence (GRESB 92, ENERGY STAR) suggest some beyond-profit thinking, but these are competitive differentiators, not a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SL Green's purpose — being Manhattan's preeminent office landlord — is a competitive ambition, not a Just Cause in Sinek's framework [2]. The company does not articulate a vision of a future state that is resilient, inclusive, service-oriented, and bigger than the company itself. 'Maximizing the value of Manhattan commercial properties' is about winning the commercial real estate game, not about advancing a cause. Holliday's Lehigh Business Magazine profile emphasizes deal-making excellence and market positioning rather than purpose-driven leadership.</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Marc Holliday's 22-year CEO tenure (28 years with the company) and recent extension through 2028 demonstrate exceptional leadership stability [2]. President Harrison Sitomer and a core executive team provide management continuity. The 1,289-person organization is compact enough for cohesive culture. However, no evidence of exceptional employee empowerment, below-average turnover, or cultural practices that create psychological safety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SL Green's competitive posture is oriented toward winning — being 'Manhattan's largest office landlord' is a market share claim, and the company's communications emphasize dominance over self-improvement [2]. The relationship with competitors like Brookfield, Vornado, and Boston Properties appears focused on competitive positioning rather than learning from rivals' strengths. No evidence of management referencing what competitors do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SL Green has progressively repositioned from diversified commercial real estate to a focused Midtown Manhattan trophy office strategy, selling non-core assets and concentrating capital on the highest-quality properties [1]. One Vanderbilt represents a strategic evolution beyond traditional office leasing into experiential real estate (Summit observation deck). These are meaningful adaptations, though incremental within commercial real estate rather than fundamental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SL Green demonstrated conviction by maintaining development commitments and Manhattan exposure through COVID when many investors fled office real estate — a costly bet that is now paying off with occupancy trending to 95% and FFO guidance raised 26% [1]. The One Vanderbilt development required substantial capital commitment during uncertain market conditions. However, the 4 consecutive years of dividend cuts (from $6.27 in 2021 to $2.84 annualized in 2025) suggest prioritizing balance sheet repair over dividend commitment, which is financially prudent but signals finite-game thinking.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SL Green at $52.94 offers a contrarian bet on the Manhattan office recovery, with Q2 2026 showing strong operational momentum — revenue of $278.9M (+27.3% YoY), FFO guidance raised 26% to $5.60-$5.90/share, same-store occupancy trending toward 95% by year-end 2026, and same-store NOI growth projected to exceed 10% in 2027 [1]. The 4.67% dividend yield provides income while waiting for the recovery thesis to fully materialize. Marc Holliday's 22-year CEO tenure and commitment to trophy Midtown properties (One Vanderbilt generating incremental fees) position SLG to benefit from the flight-to-quality trend in Manhattan office [2]. The Inspire Impact Score of 60 (ALIGNED) with 17 positive ESG attributions reflects strong environmental stewardship (GRESB 92, ENERGY STAR Partner of the Year) [3].</w:t>
      </w:r>
    </w:p>
    <w:p>
      <w:pPr>
        <w:spacing w:after="120"/>
      </w:pPr>
      <w:r>
        <w:rPr>
          <w:rFonts w:ascii="Calibri" w:hAnsi="Calibri"/>
          <w:b w:val="0"/>
          <w:color w:val="3A4A28"/>
          <w:sz w:val="20"/>
        </w:rPr>
        <w:t>The bear case is structural: GAAP metrics reflect an impaired business model. Negative ROE (-3.6%), negative profit margin (-16.7%), D/E of 142.6%, and a GAAP payout ratio of 153.75% all score at or near zero in quantitative screens [4]. The dividend has been cut for 4 consecutive years (from $6.27 in 2021 to $2.84 annualized in 2025), a -10.5% 5yr CAGR that signals financial stress rather than growth. While FFO metrics tell a more favorable story ($5.60-$5.90/share), GAAP losses persist because high depreciation and interest expense consume revenue. The 5yr revenue CAGR of ~1% reflects flat-to-declining top-line through the hybrid work disruption, and structural questions about office demand remain unresolved — AI-enabled remote work, AI-driven reduction in knowledge worker headcount, and tenant downsizing trends could limit the occupancy recovery's durability. SLG's leverage (D/E 142.6%) creates vulnerability in a rising rate environment, and the negative forward P/E reflects market skepticism about the earnings trajectory. President Sitomer's $2.3M insider sale in August 2026 does not signal conviction from the executive suite at current prices.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Manhattan office occupancy recovery to 95% by year-end 2026 with same-store NOI growth exceeding 10% in 2027, driven by flight-to-quality leasing demand and limited new trophy supply in Midtown [1]</w:t>
      </w:r>
    </w:p>
    <w:p>
      <w:pPr>
        <w:spacing w:before="40" w:after="40"/>
        <w:ind w:left="283"/>
      </w:pPr>
      <w:r>
        <w:rPr>
          <w:rFonts w:ascii="Calibri" w:hAnsi="Calibri"/>
          <w:b/>
          <w:color w:val="4A6B25"/>
          <w:sz w:val="20"/>
        </w:rPr>
        <w:t xml:space="preserve">2. </w:t>
      </w:r>
      <w:r>
        <w:rPr>
          <w:rFonts w:ascii="Calibri" w:hAnsi="Calibri"/>
          <w:b w:val="0"/>
          <w:color w:val="3A4A28"/>
          <w:sz w:val="20"/>
        </w:rPr>
        <w:t>FFO guidance raised 26% to $5.60-$5.90/share — further positive revisions could narrow the gap between FFO-based and GAAP-based valuation, re-rating the stock from deep-value to recovery play [1]</w:t>
      </w:r>
    </w:p>
    <w:p>
      <w:pPr>
        <w:spacing w:before="40" w:after="40"/>
        <w:ind w:left="283"/>
      </w:pPr>
      <w:r>
        <w:rPr>
          <w:rFonts w:ascii="Calibri" w:hAnsi="Calibri"/>
          <w:b/>
          <w:color w:val="4A6B25"/>
          <w:sz w:val="20"/>
        </w:rPr>
        <w:t xml:space="preserve">3. </w:t>
      </w:r>
      <w:r>
        <w:rPr>
          <w:rFonts w:ascii="Calibri" w:hAnsi="Calibri"/>
          <w:b w:val="0"/>
          <w:color w:val="3A4A28"/>
          <w:sz w:val="20"/>
        </w:rPr>
        <w:t>One Vanderbilt incremental income streams from office leasing, Summit observation deck tourism, and events — the trophy tower is becoming a diversified revenue center beyond traditional office REIT operations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decline in office demand from AI-enabled remote/hybrid work and AI-driven reduction in knowledge worker employment — Manhattan return-to-office rates remain below pre-pandemic levels, and the long-term equilibrium for office utilization is uncertain [1]</w:t>
      </w:r>
    </w:p>
    <w:p>
      <w:pPr>
        <w:spacing w:before="40" w:after="40"/>
        <w:ind w:left="283"/>
      </w:pPr>
      <w:r>
        <w:rPr>
          <w:rFonts w:ascii="Calibri" w:hAnsi="Calibri"/>
          <w:b/>
          <w:color w:val="4A6B25"/>
          <w:sz w:val="20"/>
        </w:rPr>
        <w:t xml:space="preserve">2. </w:t>
      </w:r>
      <w:r>
        <w:rPr>
          <w:rFonts w:ascii="Calibri" w:hAnsi="Calibri"/>
          <w:b w:val="0"/>
          <w:color w:val="3A4A28"/>
          <w:sz w:val="20"/>
        </w:rPr>
        <w:t>Balance sheet stress — D/E of 142.6% creates vulnerability to rising interest rates, with GAAP payout ratio of 153.75% indicating dividends exceed earnings, and 4 consecutive years of dividend cuts signaling ongoing financial repair [4]</w:t>
      </w:r>
    </w:p>
    <w:p>
      <w:pPr>
        <w:spacing w:before="40" w:after="40"/>
        <w:ind w:left="283"/>
      </w:pPr>
      <w:r>
        <w:rPr>
          <w:rFonts w:ascii="Calibri" w:hAnsi="Calibri"/>
          <w:b/>
          <w:color w:val="4A6B25"/>
          <w:sz w:val="20"/>
        </w:rPr>
        <w:t xml:space="preserve">3. </w:t>
      </w:r>
      <w:r>
        <w:rPr>
          <w:rFonts w:ascii="Calibri" w:hAnsi="Calibri"/>
          <w:b w:val="0"/>
          <w:color w:val="3A4A28"/>
          <w:sz w:val="20"/>
        </w:rPr>
        <w:t>Insider selling by President Sitomer ($2.3M in August 2026) and Director Brown ($182K in March 2026) without offsetting insider buying raises governance concerns about executive confidence at current valuation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Physical real estate in Manhattan is inherently protected from direct AI substitution — buildings cannot be digitized, and Class A office space in premier locations retains value through physical scarcity and prestige [2]. Regulatory complexity (NYC zoning, building codes), capital intensity, and location monopoly create structural moats. However, AI-enabled remote and hybrid work tools (video conferencing, AI collaboration platforms, AI-automated knowledge work) represent a real and ongoing headwind for office demand, particularly for non-trophy space. AI may also reduce certain categories of office employment (legal research, financial analysis, content creation), shrinking the tenant base over time. SLG's focus on trophy Midtown properties mitigates this risk, as the highest-quality space has proven most resilient to hybrid work trends, but the structural pressure on office utilization is not fully resolved [1]. AI Opportunity (0/1): No AI revenue or AI products. SL Green is a traditional office REIT without notable AI commercialization or AI-driven building technology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SL Green Q1-Q2 2026 Earnings — Q2 Revenue $278.9M (+27.3% YoY), FFO Guidance Raised to $5.60-$5.90/share (+26%), Occupancy Trending to 95%, Same-Store NOI Growth &gt;10% 2027 — SEC Filings, Commercial Observer, GuruFocus, 2026</w:t>
      </w:r>
    </w:p>
    <w:p>
      <w:pPr>
        <w:spacing w:before="20" w:after="20"/>
        <w:ind w:left="170"/>
      </w:pPr>
      <w:r>
        <w:rPr>
          <w:rFonts w:ascii="Calibri" w:hAnsi="Calibri"/>
          <w:b/>
          <w:color w:val="4A6B25"/>
          <w:sz w:val="15"/>
        </w:rPr>
        <w:t xml:space="preserve">2. </w:t>
      </w:r>
      <w:r>
        <w:rPr>
          <w:rFonts w:ascii="Calibri" w:hAnsi="Calibri"/>
          <w:b w:val="0"/>
          <w:color w:val="3A4A28"/>
          <w:sz w:val="17"/>
        </w:rPr>
        <w:t>SL Green Leadership and Strategy — CEO Marc Holliday (22-Year Tenure, Extended to 2028), Manhattan's Largest Office Landlord, One Vanderbilt, Portfolio Repositioning — LEADERS Magazine, SLGreen.com, Lehigh Business, 2024-2026</w:t>
      </w:r>
    </w:p>
    <w:p>
      <w:pPr>
        <w:spacing w:before="20" w:after="20"/>
        <w:ind w:left="170"/>
      </w:pPr>
      <w:r>
        <w:rPr>
          <w:rFonts w:ascii="Calibri" w:hAnsi="Calibri"/>
          <w:b/>
          <w:color w:val="4A6B25"/>
          <w:sz w:val="15"/>
        </w:rPr>
        <w:t xml:space="preserve">3. </w:t>
      </w:r>
      <w:r>
        <w:rPr>
          <w:rFonts w:ascii="Calibri" w:hAnsi="Calibri"/>
          <w:b w:val="0"/>
          <w:color w:val="3A4A28"/>
          <w:sz w:val="17"/>
        </w:rPr>
        <w:t>SL Green ESG — GRESB Score 92 (3rd of 108 Americas-Listed), ENERGY STAR Partner of the Year, ESG Report 2025, Inspire Impact Score 60 (ALIGNED) — MarketScreener, ENERGY STAR, CSRHub, 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SLG Key Statistics: Forward P/E -69.61x, D/E 142.6%, ROE -3.6%, Profit Margin -16.7%, Dividend Yield 4.67%, Stock Price $52.94,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