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SMCI</w:t>
      </w:r>
      <w:r>
        <w:rPr>
          <w:rFonts w:ascii="Calibri" w:hAnsi="Calibri"/>
          <w:b/>
          <w:color w:val="1A2010"/>
          <w:sz w:val="40"/>
        </w:rPr>
        <w:t xml:space="preserve">  Super Micro Computer, Inc.</w:t>
      </w:r>
    </w:p>
    <w:p>
      <w:pPr>
        <w:spacing w:after="120"/>
      </w:pPr>
      <w:r>
        <w:rPr>
          <w:rFonts w:ascii="Calibri" w:hAnsi="Calibri"/>
          <w:b/>
          <w:color w:val="6E8450"/>
          <w:sz w:val="18"/>
        </w:rPr>
        <w:t>GROWTH SLEEVE · 2026-10-02 · Inspire: 44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Computer Hardware · NMS · United States</w:t>
      </w:r>
    </w:p>
    <w:p>
      <w:pPr>
        <w:spacing w:after="80"/>
      </w:pPr>
      <w:r>
        <w:rPr>
          <w:rFonts w:ascii="Calibri" w:hAnsi="Calibri"/>
          <w:b w:val="0"/>
          <w:color w:val="3A4A28"/>
          <w:sz w:val="20"/>
        </w:rPr>
        <w:t>Super Micro Computer designs, develops, and manufactures high-performance server and storage solutions, specializing in AI-optimized data center infrastructure including liquid-cooled GPU server racks, Data Center Building Block Solutions (DCBBS), and complete rack-scale AI systems. Founded in 1993 by CEO Charles Liang, Supermicro delivered record FY2026 revenue of $39.1B (up 78% YoY) with Q4 revenue of $11.1B (up 93% YoY), and guided FY2027 to $65-72B on the strength of $60B+ in new Q4 orders driven by hyperscaler and enterprise AI demand for Blackwell Ultra GB300 NVL72 systems [1].</w:t>
      </w:r>
    </w:p>
    <w:p>
      <w:r>
        <w:rPr>
          <w:rFonts w:ascii="Calibri" w:hAnsi="Calibri"/>
          <w:b/>
          <w:color w:val="6E8450"/>
          <w:sz w:val="18"/>
        </w:rPr>
        <w:t>7,000 Employees · https://www.supermicro.com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Supermicro transformed from a niche server assembler (~$7.1B FY2023 revenue) into a leading AI infrastructure provider ($39.1B FY2026), driven by early investment in liquid-cooled GPU server designs, direct-to-chip liquid cooling technology, and modular Data Center Building Block Solutions that enabled rapid customization for hyperscaler AI deployments [1]. The revenue transformation is dramatic, but the company rode NVIDIA's GPU ecosystem rather than creating an independent technology platform. AI Deployment (2/2): Supermicro's entire product portfolio is AI infrastructure — shipping liquid-cooled and air-cooled AI training and inference servers at scale, with $13B+ in backlog tied to Blackwell Ultra GB300 NVL72 systems and FY2027 guidance of $65-72B validating sustained AI demand [1][4]. Market Share (1/2): Supermicro is a top-3 AI server vendor and NVIDIA's closest hardware partner, gaining significant share in AI-optimized servers through first-to-market advantage with new GPU platforms, but trails Dell and HPE in total server market share and faces intensifying competition as both invest billions in liquid cooling capability [1][2]. Product Pipeline (2/2): Specific next-generation products include GB300 NVL72 liquid-cooled rack systems, expanded DCBBS portfolio, and next-gen SuperBlade and GrandTwin platforms, with $60B+ in new Q4 orders and FY2027 guidance of $65-72B providing clear revenue visibility [1][4]. R&amp;D Intensity (0/1): R&amp;D spending is approximately 2-3% of revenue, well below the technology hardware industry average, reflecting Supermicro's integration-and-assembly model rather than proprietary silicon or deep software R&amp;D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Supermicro's stated purpose centers on delivering 'Total IT Solutions' with a 'We Keep IT Green' tagline focused on power efficiency [3]. While the green computing angle shows some environmental awareness, the overall mission is generic and interchangeable with any server manufacturer — it does not articulate a deeper purpose or vision of a better future. Community Impact (0/2): No evidence of specific charitable programs, foundation activities, or community investment initiatives beyond standard corporate sustainability reporting [3]. Employee Retention (0/2): Glassdoor reviews reveal significant cultural concerns — 2.7/5 work-life balance, 2.6/5 culture and values, 46% would recommend the company to a friend, with employees describing the CEO walking the office floor at 7:30 PM checking attendance and personally approving nearly all hiring decisions [2]. Insider Buying (0/2): No evidence of meaningful net insider buying; the Hindenburg Research report flagged related-party transactions with CEO Charles Liang's brothers' companies in Taiwan, and insider transactions are dominated by compensation-related sales [2][3].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Supermicro's financial profile is anchored by explosive growth and deep-value valuation despite thin margins. Revenue growth of 93.2% YoY (Q4 FY2026) far exceeds the 10% target (score 1.0), and the 3-year revenue CAGR of approximately 76% (FY2023-FY2026) massively exceeds the 10% target (score 1.0, 2x weight) [1]. D/E of 63.95% is below the 70% target (score 1.0), ROE of 21.5% exceeds the 15% target (score 1.0, 2x weight), and Forward P/E of 8.16 is well below the 20 target (score 1.0) [1][4]. The Forward PEG of 0.91 is below the 1.0 target (score 1.0, 2x weight), reflecting rapid earnings growth priced attractively. The sole drag is profit margin of 5.71%, well below the 20% target (score 0.29), reflecting the hardware assembly model with thin margins. Daily dollar volume of $1.9B provides ample liquidity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Supermicro presents a paradox under Sinek's framework: a 33-year-old founder-led company with remarkable longevity and adaptability, but whose governance practices, accounting history, and family-centric management structure conflict with the trust and transparency that infinite game players require. Charles Liang's continuous leadership since 1993 provides consistency, and the pivot to AI infrastructure shows strategic adaptability. However, the SEC accounting settlement ($17.5M in 2020), DOJ probe, Hindenburg allegations of accounting manipulation and sibling self-dealing, federal indictments for illegal server exports to China, and the 2024 near-Nasdaq delisting reveal governance practices fundamentally at odds with the ethical foundation infinite game players need [2][3].</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Supermicro's 'green computing' focus from the mid-2000s showed early environmental awareness, investing in power-efficient server design before energy efficiency was a market priority [3]. Charles Liang's 33-year tenure suggests personal commitment beyond quarterly optimization. However, the company has never articulated a purpose beyond building better servers — the current AI infrastructure focus is an opportunistic response to NVIDIA's GPU platform rather than a cause that predated the AI boom. Governance crises — SEC settlements, DOJ probes, export violations — suggest the cause has not been strong enough to constrain behavior [2][3].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Supermicro's work culture is antithetical to Sinek's Circle of Safety. CEO Charles Liang's micromanagement style — personally approving nearly all hiring, walking the floor at 7:30 PM checking attendance — creates a surveillance-oriented environment [2]. Glassdoor ratings of 2.6/5 culture and 46% recommend-to-friend indicate low employee satisfaction. Related-party transactions with Liang's brothers' companies and his wife Sara Liu in senior roles create a family-centric governance structure that undermines organizational trust for non-family employees. The 2024 governance crisis — Ernst &amp; Young auditor resignation, potential Nasdaq delisting — created severe organizational instability [2][3].</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Supermicro's competitive response to Dell and HPE has been to accelerate innovation and expand the DCBBS portfolio rather than attack competitors. The company's appointment of a Chief Revenue Officer to strengthen go-to-market execution reflects acknowledgment of competitors' enterprise sales and distribution advantages, consistent with the self-improvement-oriented mindset Sinek describes [1][2].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Supermicro evolved from generic rack servers into an AI infrastructure leader, pivoting its product mix to liquid-cooled GPU servers and DCBBS solutions that now dominate revenue — going from $7.1B FY2023 to $39.1B FY2026 [1]. The transformation required substantial engineering investment in liquid cooling and manufacturing retooling. However, the pivot followed market demand rather than anticipating it — Supermicro rode NVIDIA's wave rather than creating a new category, and the core assembly-and-integration model remained unchanged.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Liang navigated the company through severe governance crises that would have destroyed most companies — the 2024 auditor resignation, Hindenburg short attack, potential Nasdaq delisting, and DOJ probe — while maintaining strategic focus on AI infrastructure scaling [2]. Early investment in liquid cooling technology before the AI boom demonstrated willingness to invest ahead of demand. However, the governance crises themselves — $200M+ in improperly recognized revenue, export control violations — represent the opposite of courageous leadership, prioritizing near-term financial appearance over institutional integrity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Supermicro at $43.46 is one of the most attractively valued pure-plays on AI infrastructure buildout — trading at 8.16x forward earnings with a PEG of 0.91, the company delivered record FY2026 revenue of $39.1B (up 78% YoY) and guided FY2027 to $65-72B, implying 66-84% growth as AI data center buildouts accelerate globally [1][4]. Q4 FY2026 revenue reached $11.1B (up 93% YoY) with $60B+ in new orders, and the company's first-to-market advantage with NVIDIA Blackwell Ultra GB300 NVL72 liquid-cooled systems positions it at the center of the next GPU upgrade cycle. ROE of 21.5% with D/E of just 64% demonstrates capital-efficient scaling, and the balance sheet has improved materially from prior periods.</w:t>
      </w:r>
    </w:p>
    <w:p>
      <w:pPr>
        <w:spacing w:after="120"/>
      </w:pPr>
      <w:r>
        <w:rPr>
          <w:rFonts w:ascii="Calibri" w:hAnsi="Calibri"/>
          <w:b w:val="0"/>
          <w:color w:val="3A4A28"/>
          <w:sz w:val="20"/>
        </w:rPr>
        <w:t>The bear case centers on margin fragility, governance overhang, and competitive convergence. Profit margin of 5.71% on $39.1B revenue is thin for a technology company and faces further pressure as Dell and HPE scale competing AI server businesses with superior supply chain economics, potentially commoditizing the assembly layer [1][2]. Supermicro carries a troubled governance history — SEC accounting charges in 2020 for $200M+ in improperly recognized revenue, Hindenburg Research short report alleging accounting manipulation and sibling self-dealing, and a DOJ indictment for illegal export of $2.5B in AI technology to China — creating persistent credibility risk that suppresses the valuation multiple [3]. The company's extreme dependence on NVIDIA's GPU roadmap creates concentration risk; a shift toward custom ASICs by hyperscalers or NVIDIA vertical integration could structurally reduce Supermicro's addressable market. CEO Liang's micromanagement style and poor workplace culture (Glassdoor 2.6/5 culture rating) raise execution risk as the company scales toward $70B+ in revenue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NVIDIA Blackwell Ultra GB300 NVL72 upgrade cycle driving $60B+ in new Q4 orders and FY2027 revenue guidance of $65-72B, with Supermicro's liquid cooling leadership positioning it as the preferred partner for next-gen AI rack deployments [1][4]</w:t>
      </w:r>
    </w:p>
    <w:p>
      <w:pPr>
        <w:spacing w:before="40" w:after="40"/>
        <w:ind w:left="283"/>
      </w:pPr>
      <w:r>
        <w:rPr>
          <w:rFonts w:ascii="Calibri" w:hAnsi="Calibri"/>
          <w:b/>
          <w:color w:val="4A6B25"/>
          <w:sz w:val="20"/>
        </w:rPr>
        <w:t xml:space="preserve">2. </w:t>
      </w:r>
      <w:r>
        <w:rPr>
          <w:rFonts w:ascii="Calibri" w:hAnsi="Calibri"/>
          <w:b w:val="0"/>
          <w:color w:val="3A4A28"/>
          <w:sz w:val="20"/>
        </w:rPr>
        <w:t>Deep-value pricing at 8.16x forward earnings and 0.91 PEG creates significant upside potential if governance concerns continue to abate and the company sustains execution through the AI infrastructure buildout [4]</w:t>
      </w:r>
    </w:p>
    <w:p>
      <w:pPr>
        <w:spacing w:before="40" w:after="40"/>
        <w:ind w:left="283"/>
      </w:pPr>
      <w:r>
        <w:rPr>
          <w:rFonts w:ascii="Calibri" w:hAnsi="Calibri"/>
          <w:b/>
          <w:color w:val="4A6B25"/>
          <w:sz w:val="20"/>
        </w:rPr>
        <w:t xml:space="preserve">3. </w:t>
      </w:r>
      <w:r>
        <w:rPr>
          <w:rFonts w:ascii="Calibri" w:hAnsi="Calibri"/>
          <w:b w:val="0"/>
          <w:color w:val="3A4A28"/>
          <w:sz w:val="20"/>
        </w:rPr>
        <w:t>Expansion into enterprise and sovereign AI markets beyond hyperscalers, with modular DCBBS architecture enabling rapid customization for diverse deployment scenarios across geographies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governance and credibility risk from SEC accounting history, Hindenburg allegations, and DOJ export control indictments — any new regulatory action or financial restatement could trigger severe multiple compression from an already-discounted valuation [3]</w:t>
      </w:r>
    </w:p>
    <w:p>
      <w:pPr>
        <w:spacing w:before="40" w:after="40"/>
        <w:ind w:left="283"/>
      </w:pPr>
      <w:r>
        <w:rPr>
          <w:rFonts w:ascii="Calibri" w:hAnsi="Calibri"/>
          <w:b/>
          <w:color w:val="4A6B25"/>
          <w:sz w:val="20"/>
        </w:rPr>
        <w:t xml:space="preserve">2. </w:t>
      </w:r>
      <w:r>
        <w:rPr>
          <w:rFonts w:ascii="Calibri" w:hAnsi="Calibri"/>
          <w:b w:val="0"/>
          <w:color w:val="3A4A28"/>
          <w:sz w:val="20"/>
        </w:rPr>
        <w:t>Structural margin compression as Dell and HPE scale competing AI server offerings with superior supply chain economics, commoditizing the hardware assembly layer where Supermicro operates with just 5.71% profit margins and limited pricing power [1][2]</w:t>
      </w:r>
    </w:p>
    <w:p>
      <w:pPr>
        <w:spacing w:before="40" w:after="40"/>
        <w:ind w:left="283"/>
      </w:pPr>
      <w:r>
        <w:rPr>
          <w:rFonts w:ascii="Calibri" w:hAnsi="Calibri"/>
          <w:b/>
          <w:color w:val="4A6B25"/>
          <w:sz w:val="20"/>
        </w:rPr>
        <w:t xml:space="preserve">3. </w:t>
      </w:r>
      <w:r>
        <w:rPr>
          <w:rFonts w:ascii="Calibri" w:hAnsi="Calibri"/>
          <w:b w:val="0"/>
          <w:color w:val="3A4A28"/>
          <w:sz w:val="20"/>
        </w:rPr>
        <w:t>Extreme NVIDIA concentration risk — growth is almost entirely tethered to NVIDIA's GPU roadmap, and a shift toward custom ASICs by Google, Amazon, and Meta or NVIDIA's own vertical integration into rack-scale solutions could structurally reduce demand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Supermicro IS AI infrastructure — the company builds the physical servers, liquid-cooled racks, and data center building blocks that AI workloads run on, making it structurally immune to AI software substitution [1]. By definition, a company that builds AI infrastructure cannot be disrupted by the technology it enables — more AI adoption directly increases demand for Supermicro's products, as evidenced by $60B+ in new Q4 orders and FY2027 guidance of $65-72B [1][4]. The risk vector is competitive rather than AI-driven: Dell and HPE are investing billions to close the liquid cooling gap, and the assembly-focused model lacks the proprietary silicon moats that would make SMCI's position unassailable. Custom ASICs (Google TPU, Amazon Trainium) could reduce GPU server demand long-term but do not threaten server hardware itself [2]. AI Opportunity (1/1): Virtually all of Supermicro's $39.1B FY2026 revenue is AI-driven, with $13B+ in backlog specifically tied to next-gen Blackwell Ultra GPU systems and the entire growth trajectory dependent on the global AI infrastructure buildout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Supermicro FY2026 Earnings — Q4 Revenue $11.1B (+93% YoY), FY2026 Total $39.1B (+78%), Non-GAAP EPS $1.70, 17.6% Non-GAAP Gross Margin — SEC Filing, MarketBeat, CNBC, August 2026</w:t>
      </w:r>
    </w:p>
    <w:p>
      <w:pPr>
        <w:spacing w:before="20" w:after="20"/>
        <w:ind w:left="170"/>
      </w:pPr>
      <w:r>
        <w:rPr>
          <w:rFonts w:ascii="Calibri" w:hAnsi="Calibri"/>
          <w:b/>
          <w:color w:val="4A6B25"/>
          <w:sz w:val="15"/>
        </w:rPr>
        <w:t xml:space="preserve">2. </w:t>
      </w:r>
      <w:r>
        <w:rPr>
          <w:rFonts w:ascii="Calibri" w:hAnsi="Calibri"/>
          <w:b w:val="0"/>
          <w:color w:val="3A4A28"/>
          <w:sz w:val="17"/>
        </w:rPr>
        <w:t>Supermicro Leadership and Culture — CEO Charles Liang Micromanagement, Glassdoor Reviews (2.6/5 Culture, 46% Recommend), Workplace Culture Concerns — Glassdoor, Comparably, Igor's Lab, 2025-2026</w:t>
      </w:r>
    </w:p>
    <w:p>
      <w:pPr>
        <w:spacing w:before="20" w:after="20"/>
        <w:ind w:left="170"/>
      </w:pPr>
      <w:r>
        <w:rPr>
          <w:rFonts w:ascii="Calibri" w:hAnsi="Calibri"/>
          <w:b/>
          <w:color w:val="4A6B25"/>
          <w:sz w:val="15"/>
        </w:rPr>
        <w:t xml:space="preserve">3. </w:t>
      </w:r>
      <w:r>
        <w:rPr>
          <w:rFonts w:ascii="Calibri" w:hAnsi="Calibri"/>
          <w:b w:val="0"/>
          <w:color w:val="3A4A28"/>
          <w:sz w:val="17"/>
        </w:rPr>
        <w:t>Supermicro Governance Issues — SEC Accounting Charges ($200M+ Improper Revenue, $17.5M Settlement), Hindenburg Short Report, DOJ Export Control Indictment ($2.5B) — Hindenburg Research, Motley Fool, SEC Filings, 2020-2026</w:t>
      </w:r>
    </w:p>
    <w:p>
      <w:pPr>
        <w:spacing w:before="20" w:after="20"/>
        <w:ind w:left="170"/>
      </w:pPr>
      <w:r>
        <w:rPr>
          <w:rFonts w:ascii="Calibri" w:hAnsi="Calibri"/>
          <w:b/>
          <w:color w:val="4A6B25"/>
          <w:sz w:val="15"/>
        </w:rPr>
        <w:t xml:space="preserve">4. </w:t>
      </w:r>
      <w:r>
        <w:rPr>
          <w:rFonts w:ascii="Calibri" w:hAnsi="Calibri"/>
          <w:b w:val="0"/>
          <w:color w:val="3A4A28"/>
          <w:sz w:val="17"/>
        </w:rPr>
        <w:t>Supermicro FY2027 Outlook — $65-72B Revenue Guidance, $60B+ Q4 New Orders, Record Backlog, GB300 NVL72 Pipeline — SEC Form 8-K, MarketBeat Earnings Call,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