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SMID</w:t>
      </w:r>
      <w:r>
        <w:rPr>
          <w:rFonts w:ascii="Calibri" w:hAnsi="Calibri"/>
          <w:b/>
          <w:color w:val="1A2010"/>
          <w:sz w:val="40"/>
        </w:rPr>
        <w:t xml:space="preserve">  Smith-Midland Corporation</w:t>
      </w:r>
    </w:p>
    <w:p>
      <w:pPr>
        <w:spacing w:after="120"/>
      </w:pPr>
      <w:r>
        <w:rPr>
          <w:rFonts w:ascii="Calibri" w:hAnsi="Calibri"/>
          <w:b/>
          <w:color w:val="6E8450"/>
          <w:sz w:val="18"/>
        </w:rPr>
        <w:t>GROWTH SLEEVE · 2026-10-12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Building Materials · NASDAQ · United States</w:t>
      </w:r>
    </w:p>
    <w:p>
      <w:pPr>
        <w:spacing w:after="80"/>
      </w:pPr>
      <w:r>
        <w:rPr>
          <w:rFonts w:ascii="Calibri" w:hAnsi="Calibri"/>
          <w:b w:val="0"/>
          <w:color w:val="3A4A28"/>
          <w:sz w:val="20"/>
        </w:rPr>
        <w:t>Smith-Midland Corporation invents, develops, manufactures, markets, leases, licenses, sells, and installs precast concrete products and systems for the construction, highway, utility, and farming industries. Key proprietary products include J-J Hooks highway safety barriers, SlenderWall lightweight architectural panels, Easi-Set and Easi-Span precast buildings, utility vaults, SoftSound noise-absorbing soundwalls, and Beach Prisms erosion control modules. Founded in 1960 and headquartered in Midland, Virginia with 179 employees, Smith-Midland posted FY2025 record revenue of $93.4M but H1 2026 revenue declined to $45.0M due to the loss of a non-recurring special barrier project, while maintaining a backlog of $57.4M as of August 2026.</w:t>
      </w:r>
    </w:p>
    <w:p>
      <w:r>
        <w:rPr>
          <w:rFonts w:ascii="Calibri" w:hAnsi="Calibri"/>
          <w:b/>
          <w:color w:val="6E8450"/>
          <w:sz w:val="18"/>
        </w:rPr>
        <w:t>179 Employees · https://smithmidland.com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Smith-Midland has developed and patented multiple precast concrete products over its 66-year history — J-J Hooks barriers, SlenderWall architectural panels, Easi-Set buildings, SoftSound soundwalls, Beach Prisms, and H2Out drainage systems — demonstrating sustained product innovation for a micro-cap manufacturer [1][3]. Product sales grew 29% YoY in Q1 2026 and utility products surged 126% in Q2 2026, driven by data center construction demand for precast vaults and infrastructure [1][2]. However, these are incremental product extensions within the same precast concrete platform, not transformative innovations. AI Deployment (0/2): No evidence of AI adoption in manufacturing, design, project management, or any operational function; the company's 179-person workforce appears to rely entirely on traditional manufacturing processes and engineering methods. Market Share (1/2): Smith-Midland holds a defensible niche in patented precast concrete systems with international licensing operations across the U.S., Canada, New Zealand, Australia, Belgium, Mexico, and Trinidad, but commands minimal absolute market share in the highly fragmented $20B+ U.S. precast concrete industry [3]. Pipeline (1/2): Near-term catalysts include America 250 celebration infrastructure, FIFA World Cup 2026 venue construction, and the accelerating data center buildout driving demand for utility vaults and SlenderWall panels — management cited these opportunities specifically in the Q1 2026 earnings release [1][2]. R&amp;D Intensity (1/1): For a 179-employee company, the portfolio of 6+ patented products with active international licensing suggests meaningful innovation intensity relative to peers in the fragmented precast concrete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Smith-Midland's stated purpose — developing Associates to their fullest potential while producing innovative, high-quality, safe, and cost-effective precast concrete products — is functional and internally focused but lacks the aspirational scope that distinguishes mission-driven companies from well-run manufacturers [4]. The mission describes what the company does rather than why it exists, and has not evolved publicly since the company's founding era. Community Impact (0/2): No ESG reports, sustainability disclosures, community development programs, or environmental initiatives were found in public filings or the company website; the absence of controversy is not the same as the presence of positive impact [3]. Employee Retention (1/2): CEO Ashley Smith was promoted from COO to CEO (2018-2019) after joining the family-associated business, suggesting internal career development pathways [4]. With 179 employees in a single Midland, Virginia location, the company likely maintains close working relationships, though no external data (Glassdoor reviews, employer awards, turnover statistics) validates employee sentiment. Insider Buying (1/2): CEO Ashley Smith purchased $9,804 in company stock in 2026, a small but directionally positive signal of management conviction given the company's micro-cap scale — though the dollar amount is de minimis relative to institutional standards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14,779 shares × stock price of $22.40 = $331,050 daily dollar volume, well below the $1,000,000 minimum threshold, resulting in an automatic Infrastructure score of 0 regardless of underlying financial metrics [1][2]. For reference, the underlying Growth-sleeve metrics would otherwise score approximately 8/10: D/E of 7.4% is exceptional versus the 70% target (score 1.0), PEG of 1.20 is near the 1.0 target (score 0.90, 2x weight), and the 3-year revenue CAGR of 23.1% far exceeds the 10% target (score 1.0, 2x weight). However, profit margin of 8.6% is below the 20% target (score 0.43), ROE of 14.5% is just below 15% (score 0.97, 2x weight), and current revenue growth of -10.8% is negative (score 0.31). The micro-cap market cap of $119M and illiquid trading create significant position risk — investors cannot exit meaningful positions without substantial market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Smith-Midland's 66 years of continuous operation and multi-generational leadership demonstrate institutional durability, but the company's purpose is defined by product manufacturing rather than a compelling mission that transcends quarterly execution. CEO Ashley Smith's promotion from within and the family's long association with the company suggest genuine long-term orientation, though the absence of a publicly articulated vision beyond operational growth limits the infinite game assessment. The company has shown meaningful product diversification (barriers to architectural panels to utility vaults) and is adapting to new demand drivers (data centers, World Cup), reflecting moderate existential flexibility within the constraints of a micro-cap manufacturer.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Smith-Midland has operated continuously since 1960, surviving 66 years across multiple economic cycles, industry shifts, and competitive pressures — an impressive durability record for a small manufacturer [3][4]. However, the company's stated purpose (developing Associates, producing innovative products) is a description of good management practice rather than a cause worth sacrificing for. The absence of any publicly articulated vision for how precast concrete transforms communities, improves infrastructure safety, or addresses societal challenges suggests the company operates on competence and continuity rather than on a purpose that would survive the founding family's involvement.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Ashley Smith's internal promotion from COO demonstrates a culture of developing leadership from within, and the small workforce of 179 employees in a single Midland, Virginia facility likely fosters closer interpersonal relationships than a large, distributed organization [4]. The company's 66-year tenure in the same community suggests workforce stability. However, no external validation exists — no Glassdoor reviews, employer awards, employee satisfaction surveys, or turnover data are publicly available to confirm whether the working environment reflects genuine trust and psychological safety or simply low-mobility employment in a rural Virginia manufacturing setting.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Smith-Midland leadership publicly acknowledging competitors' strengths, learning from rival innovations, or using competitive benchmarking to drive self-improvement. The precast concrete industry is highly fragmented with thousands of local and regional producers, making it difficult to identify a single worthy rival. The company's competitive advantage appears to rest primarily on patented products and local market position rather than on a dynamic relationship with competition that drives continuous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Smith-Midland has diversified meaningfully from its original highway barrier focus into architectural panels (SlenderWall), prefabricated buildings (Easi-Set, Easi-Span), utility vaults, erosion control (Beach Prisms), and drainage systems (H2Out), demonstrating willingness to extend the product portfolio into adjacent applications [1][3]. The company is now pivoting toward data center infrastructure demand, with utility product sales surging 126% in Q2 2026 [2]. These are genuine adaptations, but all remain within the precast concrete manufacturing platform — the company has not fundamentally reimagined its business model, explored digital services, or entered adjacent construction technology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Smith-Midland has invested in developing and patenting multiple products over decades, accepting the upfront costs of R&amp;D and patent protection on a micro-cap budget — a meaningful commitment for a $119M market cap company with 179 employees [3][4]. The international licensing program (U.S., Canada, New Zealand, Australia, Belgium, Mexico, Trinidad) represents a bold go-to-market strategy for a small Virginia manufacturer. However, the company has not made a transformational bet — no major facility expansion, acquisition, or technology investment has been disclosed that would signal willingness to accept short-term pain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Smith-Midland at $22.40 with a $119M market cap is a niche precast concrete manufacturer with a portfolio of patented products (J-J Hooks, SlenderWall, Easi-Set) and 66 years of operating history, trading at 15.4x trailing earnings with virtually no debt (D/E of 7.4%) and a PEG ratio of 1.20 [1][2]. FY2025 delivered record revenue of $93.4M and net income of $12.5M, while the $57.4M backlog (+6.3% YoY) provides forward revenue visibility of approximately 2.6 quarters [2][3]. The company is positioned to benefit from secular tailwinds in data center construction (utility sales +126% in Q2 2026), infrastructure spending under federal programs, and near-term event demand from America 250 and the FIFA World Cup 2026 [1][2]. International licensing across seven countries generates recurring royalty income with minimal capital requirements.</w:t>
      </w:r>
    </w:p>
    <w:p>
      <w:pPr>
        <w:spacing w:after="120"/>
      </w:pPr>
      <w:r>
        <w:rPr>
          <w:rFonts w:ascii="Calibri" w:hAnsi="Calibri"/>
          <w:b w:val="0"/>
          <w:color w:val="3A4A28"/>
          <w:sz w:val="20"/>
        </w:rPr>
        <w:t>The bear case is dominated by illiquidity and cyclical vulnerability. With average daily dollar volume of just $331K, SMID fails the IOWN liquidity floor — institutional investors cannot build or exit positions without severe market impact, and a meaningful sell order could move the stock price by several percentage points [1]. Revenue declined 10.8% YoY in the most recent quarter as a non-recurring special barrier project from FY2025 rolled off, and EPS collapsed 66.9% YoY, exposing the lumpy project-dependent revenue model where single contracts can swing quarterly results by 20%+ [1][2]. The micro-cap scale ($119M market cap, 179 employees) limits pricing power, talent acquisition, and operational redundancy — the company's fortunes depend heavily on a small number of contract wins and on CEO Ashley Smith's continued leadership [4]. Profit margin of 8.6% is thin for a manufacturing business, leaving minimal cushion if input costs (cement, rebar, energy, labor) rise, and the complete absence of dividends despite strong cash generation suggests management either sees reinvestment needs or lacks confidence in sustainable cash flow predictability.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construction boom driving 126% YoY surge in utility product sales (Q2 2026) as hyperscalers and colocation providers require precast concrete vaults, transformer pads, and infrastructure components at accelerating pace [2]</w:t>
      </w:r>
    </w:p>
    <w:p>
      <w:pPr>
        <w:spacing w:before="40" w:after="40"/>
        <w:ind w:left="283"/>
      </w:pPr>
      <w:r>
        <w:rPr>
          <w:rFonts w:ascii="Calibri" w:hAnsi="Calibri"/>
          <w:b/>
          <w:color w:val="4A6B25"/>
          <w:sz w:val="20"/>
        </w:rPr>
        <w:t xml:space="preserve">2. </w:t>
      </w:r>
      <w:r>
        <w:rPr>
          <w:rFonts w:ascii="Calibri" w:hAnsi="Calibri"/>
          <w:b w:val="0"/>
          <w:color w:val="3A4A28"/>
          <w:sz w:val="20"/>
        </w:rPr>
        <w:t>Near-term event-driven demand from America 250 celebration infrastructure and FIFA World Cup 2026 venue construction creating non-recurring but meaningful barrier and precast building orders across the eastern U.S. [1]</w:t>
      </w:r>
    </w:p>
    <w:p>
      <w:pPr>
        <w:spacing w:before="40" w:after="40"/>
        <w:ind w:left="283"/>
      </w:pPr>
      <w:r>
        <w:rPr>
          <w:rFonts w:ascii="Calibri" w:hAnsi="Calibri"/>
          <w:b/>
          <w:color w:val="4A6B25"/>
          <w:sz w:val="20"/>
        </w:rPr>
        <w:t xml:space="preserve">3. </w:t>
      </w:r>
      <w:r>
        <w:rPr>
          <w:rFonts w:ascii="Calibri" w:hAnsi="Calibri"/>
          <w:b w:val="0"/>
          <w:color w:val="3A4A28"/>
          <w:sz w:val="20"/>
        </w:rPr>
        <w:t>Backlog growth to $57.4M (+6.3% YoY) provides 2.6 quarters of revenue visibility and suggests order intake is holding despite the YoY revenue decline from non-recurring special barrier project loss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illiquidity — $331K average daily dollar volume fails the IOWN liquidity floor, effectively locking out institutional investors and creating severe execution risk for any position size above a few thousand shares; Infrastructure score forced to 0 [1][2]</w:t>
      </w:r>
    </w:p>
    <w:p>
      <w:pPr>
        <w:spacing w:before="40" w:after="40"/>
        <w:ind w:left="283"/>
      </w:pPr>
      <w:r>
        <w:rPr>
          <w:rFonts w:ascii="Calibri" w:hAnsi="Calibri"/>
          <w:b/>
          <w:color w:val="4A6B25"/>
          <w:sz w:val="20"/>
        </w:rPr>
        <w:t xml:space="preserve">2. </w:t>
      </w:r>
      <w:r>
        <w:rPr>
          <w:rFonts w:ascii="Calibri" w:hAnsi="Calibri"/>
          <w:b w:val="0"/>
          <w:color w:val="3A4A28"/>
          <w:sz w:val="20"/>
        </w:rPr>
        <w:t>Lumpy project-dependent revenue model exposed by -10.8% YoY revenue decline and -66.9% EPS collapse as a single non-recurring special barrier project rolled off, demonstrating that quarterly results can swing 20%+ on individual contract timing [1][2]</w:t>
      </w:r>
    </w:p>
    <w:p>
      <w:pPr>
        <w:spacing w:before="40" w:after="40"/>
        <w:ind w:left="283"/>
      </w:pPr>
      <w:r>
        <w:rPr>
          <w:rFonts w:ascii="Calibri" w:hAnsi="Calibri"/>
          <w:b/>
          <w:color w:val="4A6B25"/>
          <w:sz w:val="20"/>
        </w:rPr>
        <w:t xml:space="preserve">3. </w:t>
      </w:r>
      <w:r>
        <w:rPr>
          <w:rFonts w:ascii="Calibri" w:hAnsi="Calibri"/>
          <w:b w:val="0"/>
          <w:color w:val="3A4A28"/>
          <w:sz w:val="20"/>
        </w:rPr>
        <w:t>Micro-cap concentration risk with 179 employees and single-site operations in Midland, Virginia — management depth, key-person dependency on CEO Ashley Smith, geographic concentration, and limited operational redundancy create outsized business continuity risk relative to larger industrial peers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Precast concrete manufacturing is among the most AI-resistant business models: it involves pouring, curing, transporting, and installing multi-ton concrete structures requiring physical plant, heavy equipment, skilled labor, and local delivery infrastructure that no software can substitute [1][2]. Smith-Midland's patented product designs (J-J Hooks, SlenderWall, Easi-Set) create IP-based moats that AI cannot replicate or circumvent — these are physical engineering innovations protected by patents and licensed internationally [3]. Local delivery constraints inherent to heavy precast products (typical economical delivery radius of 200-300 miles) naturally limit competition to regional players, making digital disruption impractical. AI could modestly improve competitors' design efficiency, reduce structural engineering labor, or optimize production scheduling, but these are incremental threats to a business fundamentally defined by physical production and installation capabilities. AI Opportunity (0/1): Limited — the company's 179-employee scale makes major AI investment impractical, and the manual nature of precast concrete manufacturing offers modest efficiency gains from automation or AI-assisted design tools relative to the implementation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Smith-Midland Q1 2026 10-Q — Revenue $21.57M (-5% YoY), EPS $0.25, Product Sales +29%, Special Barrier Project Loss Impact — SEC Filing, TradingView, May 2026</w:t>
      </w:r>
    </w:p>
    <w:p>
      <w:pPr>
        <w:spacing w:before="20" w:after="20"/>
        <w:ind w:left="170"/>
      </w:pPr>
      <w:r>
        <w:rPr>
          <w:rFonts w:ascii="Calibri" w:hAnsi="Calibri"/>
          <w:b/>
          <w:color w:val="4A6B25"/>
          <w:sz w:val="15"/>
        </w:rPr>
        <w:t xml:space="preserve">2. </w:t>
      </w:r>
      <w:r>
        <w:rPr>
          <w:rFonts w:ascii="Calibri" w:hAnsi="Calibri"/>
          <w:b w:val="0"/>
          <w:color w:val="3A4A28"/>
          <w:sz w:val="17"/>
        </w:rPr>
        <w:t>Smith-Midland Q2 2026 Earnings Release — Revenue $23.4M, Backlog $57.4M, Utility Sales +126%, America 250 and World Cup Opportunities Cited —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Smith-Midland FY2025 Annual Results — Record Revenue $93.4M (+19% YoY), Net Income $12.5M, International Licensing Operations — StockTitan, SEC Filing, March 2026</w:t>
      </w:r>
    </w:p>
    <w:p>
      <w:pPr>
        <w:spacing w:before="20" w:after="20"/>
        <w:ind w:left="170"/>
      </w:pPr>
      <w:r>
        <w:rPr>
          <w:rFonts w:ascii="Calibri" w:hAnsi="Calibri"/>
          <w:b/>
          <w:color w:val="4A6B25"/>
          <w:sz w:val="15"/>
        </w:rPr>
        <w:t xml:space="preserve">4. </w:t>
      </w:r>
      <w:r>
        <w:rPr>
          <w:rFonts w:ascii="Calibri" w:hAnsi="Calibri"/>
          <w:b w:val="0"/>
          <w:color w:val="3A4A28"/>
          <w:sz w:val="17"/>
        </w:rPr>
        <w:t>Smith-Midland Leadership — Ashley Smith Promoted to President/CEO (2018-2019), Company Profile and Associate Development Mission — smithmidland.com, Craft.co,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Smith-Midland CEO Ashley Smith Stock Purchase — $9,804 Acquisition of Company Shares — Investing.com,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