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SMR</w:t>
      </w:r>
      <w:r>
        <w:rPr>
          <w:rFonts w:ascii="Calibri" w:hAnsi="Calibri"/>
          <w:b/>
          <w:color w:val="1A2010"/>
          <w:sz w:val="40"/>
        </w:rPr>
        <w:t xml:space="preserve">  NuScale Power Corporation</w:t>
      </w:r>
    </w:p>
    <w:p>
      <w:pPr>
        <w:spacing w:after="120"/>
      </w:pPr>
      <w:r>
        <w:rPr>
          <w:rFonts w:ascii="Calibri" w:hAnsi="Calibri"/>
          <w:b/>
          <w:color w:val="6E8450"/>
          <w:sz w:val="18"/>
        </w:rPr>
        <w:t>GROWTH SLEEVE · 2026-10-02 · Inspire: 57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NYQ · United States</w:t>
      </w:r>
    </w:p>
    <w:p>
      <w:pPr>
        <w:spacing w:after="80"/>
      </w:pPr>
      <w:r>
        <w:rPr>
          <w:rFonts w:ascii="Calibri" w:hAnsi="Calibri"/>
          <w:b w:val="0"/>
          <w:color w:val="3A4A28"/>
          <w:sz w:val="20"/>
        </w:rPr>
        <w:t>NuScale Power is the first and only company to receive U.S. Nuclear Regulatory Commission (NRC) Standard Design Approval for a small modular reactor (SMR), positioning it as the global leader in advanced nuclear technology. The company's VOYGR SMR power plant design uses a scalable modular approach with individual 77 MWe modules for flexible deployment. Under CEO John Hopkins (since 2012), NuScale is targeting AI data center power supply and international deployment opportunities. Q2 2026 revenue collapsed to $75K (down 99% YoY) as the Fluor FEED Phase 2 contract concluded, but the company maintains $1.9B in liquidity and TTM net losses of approximately $356M [1].</w:t>
      </w:r>
    </w:p>
    <w:p>
      <w:r>
        <w:rPr>
          <w:rFonts w:ascii="Calibri" w:hAnsi="Calibri"/>
          <w:b/>
          <w:color w:val="6E8450"/>
          <w:sz w:val="18"/>
        </w:rPr>
        <w:t>428 Employees · https://www.nuscalepower.com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NuScale achieved a genuinely historic regulatory milestone — the first and only NRC Standard Design Approval for an SMR, requiring years of engineering validation and safety review that establishes a multi-year regulatory moat over competitors (GE-Hitachi BWRX-300, Oklo, X-energy, Rolls-Royce SMR) [2]. However, no commercial reactor has been built or operated, and the Idaho CFPP project cancellation in 2023 remains the primary evidence of the gap between regulatory achievement and commercial execution [1]. AI Deployment (1/2): NuScale deployed nuclear-specific AI tools from NPX and Nuclearn for engineering and knowledge-management functions, with initial proof-of-concept demonstrating an 80% reduction in time required to find relevant information — specific internal efficiency gains from AI deployment [2]. Market Share (1/2): NuScale holds the only NRC-approved SMR design, giving it first-mover regulatory position in the U.S. market, and is in discussions with a majority of tier-one hyperscalers for nuclear power procurement [2]. However, with zero operating reactors, operational market share is 0%. Product Pipeline (1/2): The VOYGR power plant design is approved and available for deployment, with active hyperscaler discussions and AI data center power identified as a primary target market. However, timelines remain long and uncertain, and no firm commercial deployment contract has been publicly announced [1][2]. R&amp;D Intensity (1/1): NuScale is fundamentally an R&amp;D company — the vast majority of spending is engineering development and regulatory compliance, with operating losses of $64M in Q2 2026 alone reflecting investment far exceeding industry R&amp;D norms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NuScale's purpose — 'changing the power that changes the world' through clean, reliable, carbon-free nuclear energy — is specific, thoughtful, and connects nuclear engineering to addressing climate change and energy security [2][3]. CEO John Hopkins has articulated this purpose consistently for 14 years through NRC approval, SPAC listing, and CFPP cancellation, demonstrating genuine commitment beyond quarterly optimization. However, the cause has not been validated by commercial deployment — aspiration without execution limits the floor to 3. Community Impact (0/2): No evidence of specific charitable programs, foundation activities, or community investment beyond nuclear energy's general contribution to clean energy [3]. Employee Retention (0/2): No employee retention or tenure data was identified for this 428-person pre-commercial company. Insider Buying (0/2): No evidence of meaningful net insider buying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NuScale's infrastructure score is severely constrained by pre-commercial economics. D/E of 0.33% is excellent (score 1.0), reflecting $1.9B liquidity with minimal traditional debt [1][4]. However, all other metrics score at or below floor: ROE of -55.2% (score 0.0, 2x weight), revenue growth of -99.1% YoY as the Fluor contract concluded (score 0.0), Forward P/E of -11.7 indicating expected continued losses (score 0.0), and profit margin of effectively 0% on $75K quarterly revenue against $64M quarterly losses (score 0.0) [1]. PEG ratio and 5yr revenue CAGR are excluded as unavailable. The near-zero revenue base and $356M TTM losses produce catastrophic profitability metrics, though the $1.9B cash position provides approximately 5 years of operational runway. Daily dollar volume of $258M easily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NuScale demonstrates genuine infinite game characteristics through CEO John Hopkins' 14-year leadership marathon pursuing NRC regulatory approval, sustained investment of hundreds of millions through years of zero revenue, and a Just Cause rooted in clean nuclear energy addressing climate change. The willingness to persist through the CFPP cancellation and continue investing at $356M annual losses against market skepticism reflects courageous leadership. However, the company has not yet faced the existential flexibility test, and with zero operating reactors, the infinite game aspirations remain unvalidated by commercial execution [2].</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Clean, carbon-free nuclear energy for a decarbonized future meets most of Sinek's criteria — resilient (energy transition spans decades), inclusive (benefits society), service-oriented (clean energy and energy security), idealistic (carbon-free world), and big (climate change is an infinite challenge) [2]. CEO Hopkins has consistently articulated this purpose since 2012, and the company's framing of 'bridging the cultural divide between high-tech urgency and nuclear safety discipline' demonstrates sophisticated purpose thinking. However, the cause has not been validated by commercial deployment — the CFPP cancellation was a significant setback, and no NuScale reactor has generated electricity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Hopkins' 14-year tenure provides exceptional leadership stability for a pre-revenue company, suggesting genuine organizational commitment beyond financial returns. The company maintained its 428-person workforce through years of losses and the CFPP setback, indicating some degree of employee loyalty [2]. However, no specific retention, tenure, or employee satisfaction data was identified, and the organization has not been tested by the operational demands of running nuclear power plants.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NuScale's competitive posture acknowledges other SMR developers (GE-Hitachi BWRX-300, Oklo, X-energy) as advancing the broader nuclear energy cause rather than as threats to be destroyed. The company frames competition as validating the SMR market opportunity and uses competitive pressure to accelerate its own development timeline, consistent with the improvement-oriented mindset Sinek describes [2].</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NuScale has not demonstrated existential flexibility as Sinek defines it. The company has pursued the same SMR technology with the same core design since inception — a single-product company that has not faced the test of abandoning something that was working. The CFPP cancellation was an imposed setback, not a chosen strategic pivot, and the shift to targeting AI data center power is market repositioning rather than fundamental business model transformation [1][2].</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NuScale demonstrates sustained pattern courage that exemplifies Sinek's description. The company invested hundreds of millions of dollars and over a decade pursuing NRC regulatory approval — the first company ever to achieve this for an SMR — with no guarantee of success [2]. After the CFPP cancellation in 2023 destroyed its first commercial project, leadership persisted rather than retrenching, maintaining R&amp;D investment and pivoting to hyperscaler opportunities. Operating at $356M annual losses with the stock down from $57 to $7.72, while maintaining $1.9B liquidity for future deployment, demonstrates genuine willingness to sacrifice near-term results for the long-term cause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NuScale Power at $7.72 ($3.16B market cap) is the highest-conviction speculative bet on nuclear energy for the AI era — the first and only NRC-approved SMR design provides a regulatory moat that competitors cannot replicate in less than 5-7 years [2]. The AI data center buildout creates secular demand for clean baseload electricity that nuclear is uniquely positioned to provide, with NVIDIA's Jensen Huang endorsing nuclear as AI's future and Microsoft, Google, and Amazon announcing nuclear procurement strategies [2]. NuScale is in discussions with a majority of tier-one hyperscalers, and the company's $1.9B liquidity provides 4-5 years of runway to convert regulatory advantage into commercial contracts [1]. CEO Hopkins' 14-year tenure provides leadership continuity rarely seen in pre-revenue companies, and the Inspire Impact Score of 57 (ALIGNED) makes NuScale one of the most faith-compatible clean energy investments available.</w:t>
      </w:r>
    </w:p>
    <w:p>
      <w:pPr>
        <w:spacing w:after="120"/>
      </w:pPr>
      <w:r>
        <w:rPr>
          <w:rFonts w:ascii="Calibri" w:hAnsi="Calibri"/>
          <w:b w:val="0"/>
          <w:color w:val="3A4A28"/>
          <w:sz w:val="20"/>
        </w:rPr>
        <w:t>The bear case is severe. NuScale generated $75K in Q2 2026 revenue (down 99% YoY) as the Fluor contract concluded, with TTM net losses of $356M — the company is burning approximately $900K per day with no near-term path to profitability [1]. The $3.16B market cap on near-zero revenue implies an extreme speculative premium pricing in decades of growth that may never materialize. The CFPP cancellation in 2023 destroyed the company's first commercial project and remains the primary evidence of execution risk — NRC design approval has not translated into a single operating reactor. Competitors including GE-Hitachi (BWRX-300), X-energy, Oklo, and Rolls-Royce SMR are advancing their own designs, and NuScale's first-mover advantage narrows with each year without commercial deployment. Nuclear energy faces persistent ESG debate — while carbon-free, concerns over uranium mining, waste disposal (86,000 metric tons at 75 U.S. sites), and safety create regulatory and public perception headwinds [3]. The stock has declined 86% from its 52-week high of $57.42, and the $1.9B liquidity runway is finite, potentially requiring dilutive capital raises if the commercial timeline extends.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power demand creating secular urgency for clean baseload electricity — NVIDIA CEO and hyperscaler procurement announcements validate the market opportunity that NuScale's NRC-approved SMR design is uniquely positioned to capture, with discussions active with a majority of tier-one hyperscalers [2]</w:t>
      </w:r>
    </w:p>
    <w:p>
      <w:pPr>
        <w:spacing w:before="40" w:after="40"/>
        <w:ind w:left="283"/>
      </w:pPr>
      <w:r>
        <w:rPr>
          <w:rFonts w:ascii="Calibri" w:hAnsi="Calibri"/>
          <w:b/>
          <w:color w:val="4A6B25"/>
          <w:sz w:val="20"/>
        </w:rPr>
        <w:t xml:space="preserve">2. </w:t>
      </w:r>
      <w:r>
        <w:rPr>
          <w:rFonts w:ascii="Calibri" w:hAnsi="Calibri"/>
          <w:b w:val="0"/>
          <w:color w:val="3A4A28"/>
          <w:sz w:val="20"/>
        </w:rPr>
        <w:t>First commercial deployment contract announcement would transform the investment narrative from pre-revenue speculation to validated execution, potentially triggering significant multiple re-rating from the deeply discounted $3.16B market cap [1][2]</w:t>
      </w:r>
    </w:p>
    <w:p>
      <w:pPr>
        <w:spacing w:before="40" w:after="40"/>
        <w:ind w:left="283"/>
      </w:pPr>
      <w:r>
        <w:rPr>
          <w:rFonts w:ascii="Calibri" w:hAnsi="Calibri"/>
          <w:b/>
          <w:color w:val="4A6B25"/>
          <w:sz w:val="20"/>
        </w:rPr>
        <w:t xml:space="preserve">3. </w:t>
      </w:r>
      <w:r>
        <w:rPr>
          <w:rFonts w:ascii="Calibri" w:hAnsi="Calibri"/>
          <w:b w:val="0"/>
          <w:color w:val="3A4A28"/>
          <w:sz w:val="20"/>
        </w:rPr>
        <w:t>International deployment opportunities accelerating as countries pursue energy security and decarbonization, with NuScale's NRC regulatory head start providing competitive advantage in markets that recognize U.S. safety standards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Zero operating reactors and near-zero current revenue ($75K Q2 2026, down 99% YoY) demonstrate that NRC design approval has not translated into commercial deployment — the CFPP cancellation remains the primary execution precedent, and $356M TTM losses are consuming $1.9B liquidity at ~$900K per day [1]</w:t>
      </w:r>
    </w:p>
    <w:p>
      <w:pPr>
        <w:spacing w:before="40" w:after="40"/>
        <w:ind w:left="283"/>
      </w:pPr>
      <w:r>
        <w:rPr>
          <w:rFonts w:ascii="Calibri" w:hAnsi="Calibri"/>
          <w:b/>
          <w:color w:val="4A6B25"/>
          <w:sz w:val="20"/>
        </w:rPr>
        <w:t xml:space="preserve">2. </w:t>
      </w:r>
      <w:r>
        <w:rPr>
          <w:rFonts w:ascii="Calibri" w:hAnsi="Calibri"/>
          <w:b w:val="0"/>
          <w:color w:val="3A4A28"/>
          <w:sz w:val="20"/>
        </w:rPr>
        <w:t>The $3.16B market cap on virtually no revenue implies an extreme speculative premium that requires decades of profitable growth to justify, while the stock has declined 86% from its $57.42 peak, reflecting persistent market skepticism about commercial viability [1][4]</w:t>
      </w:r>
    </w:p>
    <w:p>
      <w:pPr>
        <w:spacing w:before="40" w:after="40"/>
        <w:ind w:left="283"/>
      </w:pPr>
      <w:r>
        <w:rPr>
          <w:rFonts w:ascii="Calibri" w:hAnsi="Calibri"/>
          <w:b/>
          <w:color w:val="4A6B25"/>
          <w:sz w:val="20"/>
        </w:rPr>
        <w:t xml:space="preserve">3. </w:t>
      </w:r>
      <w:r>
        <w:rPr>
          <w:rFonts w:ascii="Calibri" w:hAnsi="Calibri"/>
          <w:b w:val="0"/>
          <w:color w:val="3A4A28"/>
          <w:sz w:val="20"/>
        </w:rPr>
        <w:t>Competitor SMR designs from GE-Hitachi (BWRX-300), X-energy, Oklo, and Rolls-Royce are advancing through regulatory processes — NuScale's first-mover advantage narrows with each year without commercial deployment, and competitors may benefit from technology improvements and lessons learned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NuScale's core business — designing and deploying nuclear power reactors — is among the most AI-immune businesses in public markets. Nuclear reactor engineering requires decades of regulatory expertise, multi-year NRC licensing processes, physical manufacturing of nuclear-grade components, and safety cultures that AI structurally cannot replicate or displace [2]. AI actively INCREASES demand for NuScale's product: the global AI data center buildout requires massive amounts of clean baseload electricity, and nuclear SMRs are uniquely positioned to provide 24/7 carbon-free power co-located with data centers. NVIDIA CEO Jensen Huang has stated nuclear is AI's future, and Microsoft, Google, and Amazon have all announced nuclear power procurement strategies, directly validating NuScale's target market [2]. AI Opportunity (0/1): While NuScale is actively targeting AI data center power as a primary growth market and is in discussions with a majority of tier-one hyperscalers, the company has not yet generated any revenue from AI-related contracts or deployments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NuScale Power Q2 2026 Earnings — Revenue $75K (-99% YoY), Q1 Revenue $0.6M (-95.5% YoY), $1.9B Liquidity (+35% from Year-End 2025), Operating Loss $64M — SEC Filing, Investing.com, Panabee, August 2026</w:t>
      </w:r>
    </w:p>
    <w:p>
      <w:pPr>
        <w:spacing w:before="20" w:after="20"/>
        <w:ind w:left="170"/>
      </w:pPr>
      <w:r>
        <w:rPr>
          <w:rFonts w:ascii="Calibri" w:hAnsi="Calibri"/>
          <w:b/>
          <w:color w:val="4A6B25"/>
          <w:sz w:val="15"/>
        </w:rPr>
        <w:t xml:space="preserve">2. </w:t>
      </w:r>
      <w:r>
        <w:rPr>
          <w:rFonts w:ascii="Calibri" w:hAnsi="Calibri"/>
          <w:b w:val="0"/>
          <w:color w:val="3A4A28"/>
          <w:sz w:val="17"/>
        </w:rPr>
        <w:t>NuScale Power Leadership and Strategy — CEO John Hopkins Since 2012, First NRC-Approved SMR, Hyperscaler Discussions, Nuclear-Specific AI Deployment (NPX/Nuclearn), Jensen Huang Nuclear Endorsement — NuScale.com, Axios Pro, Yahoo Finance, 2025-2026</w:t>
      </w:r>
    </w:p>
    <w:p>
      <w:pPr>
        <w:spacing w:before="20" w:after="20"/>
        <w:ind w:left="170"/>
      </w:pPr>
      <w:r>
        <w:rPr>
          <w:rFonts w:ascii="Calibri" w:hAnsi="Calibri"/>
          <w:b/>
          <w:color w:val="4A6B25"/>
          <w:sz w:val="15"/>
        </w:rPr>
        <w:t xml:space="preserve">3. </w:t>
      </w:r>
      <w:r>
        <w:rPr>
          <w:rFonts w:ascii="Calibri" w:hAnsi="Calibri"/>
          <w:b w:val="0"/>
          <w:color w:val="3A4A28"/>
          <w:sz w:val="17"/>
        </w:rPr>
        <w:t>Nuclear Energy ESG Landscape — Carbon-Free Credentials vs. Waste/Safety Concerns, 86K Metric Tons Stored at 75 U.S. Sites, Public Perception Challenges — E&amp;E News, Sustainalytics, NEI, 2022-2026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SMR Key Statistics: Stock Price $7.72, Market Cap $3.16B, Forward PE -11.7, D/E 0.33%, ROE -55.2%, Avg Volume 33.4M,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