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SOPA</w:t>
      </w:r>
      <w:r>
        <w:rPr>
          <w:rFonts w:ascii="Calibri" w:hAnsi="Calibri"/>
          <w:b/>
          <w:color w:val="1A2010"/>
          <w:sz w:val="40"/>
        </w:rPr>
        <w:t xml:space="preserve">  Society Pass Incorporated</w:t>
      </w:r>
    </w:p>
    <w:p>
      <w:pPr>
        <w:spacing w:after="120"/>
      </w:pPr>
      <w:r>
        <w:rPr>
          <w:rFonts w:ascii="Calibri" w:hAnsi="Calibri"/>
          <w:b/>
          <w:color w:val="6E8450"/>
          <w:sz w:val="18"/>
        </w:rPr>
        <w:t>GROWTH SLEEVE · 2026-10-21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NASDAQ · United States</w:t>
      </w:r>
    </w:p>
    <w:p>
      <w:pPr>
        <w:spacing w:after="80"/>
      </w:pPr>
      <w:r>
        <w:rPr>
          <w:rFonts w:ascii="Calibri" w:hAnsi="Calibri"/>
          <w:b w:val="0"/>
          <w:color w:val="3A4A28"/>
          <w:sz w:val="20"/>
        </w:rPr>
        <w:t>Society Pass is a Southeast Asia-focused digital ecosystem company operating across Singapore, Vietnam, Indonesia, the Philippines, and Thailand in digital marketing, lifestyle, beauty, travel, and food &amp; beverage verticals. The company claims 3.3 million registered users and 205,000 registered merchants. On May 12, 2026, Society Pass and its SoPa subsidiary filed Chapter 11 bankruptcy (Houston, Case No. 26-90525), and Nasdaq moved to delist shares on May 21, 2026, suspending trading despite the company's planned appeal. Market cap has collapsed to approximately $1M. The most recent earnings (March 2026) showed revenue of $2.05M and EPS of -$0.15, with TTM revenue of $7.1M and net losses of -$10.2M.</w:t>
      </w:r>
    </w:p>
    <w:p>
      <w:r>
        <w:rPr>
          <w:rFonts w:ascii="Calibri" w:hAnsi="Calibri"/>
          <w:b/>
          <w:color w:val="6E8450"/>
          <w:sz w:val="18"/>
        </w:rPr>
        <w:t>200 Employees · https://www.thesocietypass.com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Society Pass has failed to establish a viable business model in five years of operation. Revenue declined 18% YoY in the most recently reported quarter, the company filed Chapter 11 bankruptcy in May 2026, and Nasdaq initiated delisting proceedings [1][2]. No successful product launches, market pivots, or business model transformations were identified — the multi-vertical digital platform strategy across five Southeast Asian countries spread resources too thin without achieving scale in any category. AI Deployment (0/2): No evidence of AI product deployment, AI-driven cost savings, or AI strategy of any kind. Market Share (0/2): Micro-cap participant with negligible share in the highly competitive Southeast Asian digital economy dominated by Grab, Shopee, GoTo, and established local players. Product Pipeline (0/2): No visible product pipeline; the company is in Chapter 11 bankruptcy [1]. R&amp;D Intensity (0/1): No evidence of meaningful R&amp;D spending given TTM revenue of $7.1M and net losses of -$10.2M.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Society Pass's stated purpose as a digital ecosystem connecting consumers and merchants across Southeast Asia is generic — interchangeable with dozens of e-commerce platforms in the region. No distinctive vision or deeper purpose beyond building a digital marketplace was identified. Community Impact (0/2): No evidence of charitable giving, community programs, or social impact initiatives. A company in bankruptcy with $7.1M in TTM revenue and net losses of $10.2M has no resources for community investment [1]. Employee Retention (0/2): No employee retention data available. Chapter 11 filing and Nasdaq delisting suggest significant organizational instability [1]. Insider Buying (0/2): No evidence of insider buying; the stock's collapse and bankruptcy filing make open-market purchases unlikely.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~331,000 shares at a stock price of ~$0.37 yields daily dollar volume of approximately $122,000 — well below the $1,000,000 minimum [3]. Infrastructure score is automatically set to 0 regardless of other metrics. Even without the liquidity floor, the metrics are dire: ROE is deeply negative, revenue declined 18% YoY, forward P/E is unavailable (negative earnings), and the company filed Chapter 11 bankruptcy in May 2026 [1][2]. D/E is low (~7%) with $15.3M cash against $0.8M debt, but this cash is subject to bankruptcy proceedings.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Society Pass is in pure survival mode. A company in Chapter 11 bankruptcy with Nasdaq delisting proceedings is not playing an infinite game — it is fighting for its right to continue existing. No Just Cause, no courageous leadership decisions, no trusting teams, no existential flexibility, and no worthy rival awareness were identified [1].</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Society Pass exists to build a digital marketplace in Southeast Asia, which is a commercial objective, not a vision of a future state that inspires sacrifice. The Chapter 11 filing is evidence the company optimized for expansion over sustainability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Chapter 11 bankruptcy and Nasdaq delisting destroy organizational trust. Employees face job insecurity, creditors are enforcing claims, and the company's future is uncertain [1]. Operations across 5 countries with ~200 employees suggest a thinly-spread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rival acknowledgment. Society Pass operated in markets dominated by Grab, Shopee, GoTo, and established local players, but there is no evidence the company learned from these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Society Pass maintained its multi-country, multi-vertical strategy even as revenue declined and losses mounted, suggesting rigidity rather than adaptation [2]. The Chapter 11 filing is forced restructuring, not a strategic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company expanded aggressively across 5 countries while burning cash, ultimately ending in bankruptcy — reckless optimism rather than Sinek's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bull case for Society Pass. The company filed Chapter 11 bankruptcy on May 12, 2026, Nasdaq suspended trading on May 21, 2026, and the stock trades OTC at approximately $0.37 with a market cap near $1M [1]. TTM revenue of $7.1M against net losses of $10.2M demonstrates a business model that does not work — the company burns $1.43 for every $1 in revenue it generates [2][3].</w:t>
      </w:r>
    </w:p>
    <w:p>
      <w:pPr>
        <w:spacing w:after="120"/>
      </w:pPr>
      <w:r>
        <w:rPr>
          <w:rFonts w:ascii="Calibri" w:hAnsi="Calibri"/>
          <w:b w:val="0"/>
          <w:color w:val="3A4A28"/>
          <w:sz w:val="20"/>
        </w:rPr>
        <w:t>The risks are existential and immediate. Chapter 11 restructuring may not result in a viable going concern — the company's assets have uncertain value in bankruptcy proceedings [1]. Nasdaq delisting removes institutional investor access and liquidity. Even if the company emerges from bankruptcy, the competitive landscape in Southeast Asian digital commerce is dominated by well-funded players with orders-of-magnitude more capital and market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Chapter 11 restructuring and emergence as a viable going concern — speculative and depends on court approval, creditor agreement, and operational turnaround [1]</w:t>
      </w:r>
    </w:p>
    <w:p>
      <w:pPr>
        <w:spacing w:before="40" w:after="40"/>
        <w:ind w:left="283"/>
      </w:pPr>
      <w:r>
        <w:rPr>
          <w:rFonts w:ascii="Calibri" w:hAnsi="Calibri"/>
          <w:b/>
          <w:color w:val="4A6B25"/>
          <w:sz w:val="20"/>
        </w:rPr>
        <w:t xml:space="preserve">2. </w:t>
      </w:r>
      <w:r>
        <w:rPr>
          <w:rFonts w:ascii="Calibri" w:hAnsi="Calibri"/>
          <w:b w:val="0"/>
          <w:color w:val="3A4A28"/>
          <w:sz w:val="20"/>
        </w:rPr>
        <w:t>Potential strategic acquisition of the user base (3.3M registered users) and merchant network (205K) by a larger Southeast Asian digital platform</w:t>
      </w:r>
    </w:p>
    <w:p>
      <w:pPr>
        <w:spacing w:before="40" w:after="40"/>
        <w:ind w:left="283"/>
      </w:pPr>
      <w:r>
        <w:rPr>
          <w:rFonts w:ascii="Calibri" w:hAnsi="Calibri"/>
          <w:b/>
          <w:color w:val="4A6B25"/>
          <w:sz w:val="20"/>
        </w:rPr>
        <w:t xml:space="preserve">3. </w:t>
      </w:r>
      <w:r>
        <w:rPr>
          <w:rFonts w:ascii="Calibri" w:hAnsi="Calibri"/>
          <w:b w:val="0"/>
          <w:color w:val="3A4A28"/>
          <w:sz w:val="20"/>
        </w:rPr>
        <w:t>Nasdaq delisting appeal success — maintaining listing would preserve institutional access, though this appears unlikely given the bankruptcy filing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Chapter 11 bankruptcy may result in complete equity wipeout — shareholders are last in line in a liquidation scenario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eliminates institutional investor access and accelerates the liquidity death spiral — daily dollar volume of ~$125K makes position building impossible [3]</w:t>
      </w:r>
    </w:p>
    <w:p>
      <w:pPr>
        <w:spacing w:before="40" w:after="40"/>
        <w:ind w:left="283"/>
      </w:pPr>
      <w:r>
        <w:rPr>
          <w:rFonts w:ascii="Calibri" w:hAnsi="Calibri"/>
          <w:b/>
          <w:color w:val="4A6B25"/>
          <w:sz w:val="20"/>
        </w:rPr>
        <w:t xml:space="preserve">3. </w:t>
      </w:r>
      <w:r>
        <w:rPr>
          <w:rFonts w:ascii="Calibri" w:hAnsi="Calibri"/>
          <w:b w:val="0"/>
          <w:color w:val="3A4A28"/>
          <w:sz w:val="20"/>
        </w:rPr>
        <w:t>Revenue declining 18% YoY while operating at a -143% profit margin demonstrates a fundamentally broken business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Society Pass operates a digital marketing and e-commerce platform — a sector with meaningful AI exposure. AI-powered marketing tools (automated ad creative, personalized targeting, content generation) are rapidly displacing the manual digital marketing services that small platforms like SOPA provide [2]. AI-native e-commerce platforms from major players are widening the competitive gap. However, the company's existential threat is financial insolvency, not AI. AI Opportunity (0/1): No AI revenue, products, or strategy. The company lacks capital, talent, and technological capability to develop AI-powered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Society Pass Chapter 11 Filing — May 12, 2026 (Houston Case No. 26-90525), Nasdaq Delisting Proceedings May 21, 2026 — TipRanks, StockTitan, Benzinga</w:t>
      </w:r>
    </w:p>
    <w:p>
      <w:pPr>
        <w:spacing w:before="20" w:after="20"/>
        <w:ind w:left="170"/>
      </w:pPr>
      <w:r>
        <w:rPr>
          <w:rFonts w:ascii="Calibri" w:hAnsi="Calibri"/>
          <w:b/>
          <w:color w:val="4A6B25"/>
          <w:sz w:val="15"/>
        </w:rPr>
        <w:t xml:space="preserve">2. </w:t>
      </w:r>
      <w:r>
        <w:rPr>
          <w:rFonts w:ascii="Calibri" w:hAnsi="Calibri"/>
          <w:b w:val="0"/>
          <w:color w:val="3A4A28"/>
          <w:sz w:val="17"/>
        </w:rPr>
        <w:t>Society Pass Q4 FY2025 Earnings — Revenue $2.05M, EPS -$0.15, Revenue Declining 18% YoY, TTM Revenue $7.1M — Investing.com, March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SOPA Key Statistics: Stock Price ~$0.37, Market Cap ~$1M, D/E 7.23%, Avg Daily Volume 331K,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