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w:t>
      </w:r>
      <w:r>
        <w:rPr>
          <w:rFonts w:ascii="Calibri" w:hAnsi="Calibri"/>
          <w:b/>
          <w:color w:val="1A2010"/>
          <w:sz w:val="40"/>
        </w:rPr>
        <w:t xml:space="preserve">  The Southern Company</w:t>
      </w:r>
    </w:p>
    <w:p>
      <w:pPr>
        <w:spacing w:after="120"/>
      </w:pPr>
      <w:r>
        <w:rPr>
          <w:rFonts w:ascii="Calibri" w:hAnsi="Calibri"/>
          <w:b/>
          <w:color w:val="6E8450"/>
          <w:sz w:val="18"/>
        </w:rPr>
        <w:t>DIVIDEND SLEEVE · 2026-10-21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NYQ · United States</w:t>
      </w:r>
    </w:p>
    <w:p>
      <w:pPr>
        <w:spacing w:after="80"/>
      </w:pPr>
      <w:r>
        <w:rPr>
          <w:rFonts w:ascii="Calibri" w:hAnsi="Calibri"/>
          <w:b w:val="0"/>
          <w:color w:val="3A4A28"/>
          <w:sz w:val="20"/>
        </w:rPr>
        <w:t>Southern Company is the largest electric utility in the United States by customer count, serving 9 million customers through its regulated subsidiaries (Georgia Power, Alabama Power, Mississippi Power) and Southern Company Gas. The company completed Vogtle Units 3 and 4, the first new U.S. nuclear reactors in over 30 years. Under CEO Chris Womack (35+ year company veteran), Southern Company is positioning as critical infrastructure for AI data centers, with 10 GW of power contracts secured. Q1 2026 adjusted EPS was $1.32 (+7.3% YoY), and management has guided for 8-9% EPS growth through 2028.</w:t>
      </w:r>
    </w:p>
    <w:p>
      <w:r>
        <w:rPr>
          <w:rFonts w:ascii="Calibri" w:hAnsi="Calibri"/>
          <w:b/>
          <w:color w:val="6E8450"/>
          <w:sz w:val="18"/>
        </w:rPr>
        <w:t>29,502 Employees · https://www.southerncompany.com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Southern Company completed Vogtle Units 3 and 4 — the first new nuclear reactors built in the U.S. in over 30 years — adding 2+ GW of carbon-free baseload capacity, though the project suffered massive delays and $30B+ in cost overruns [1][4]. The company has executed a substantial energy transition from coal-heavy generation toward nuclear, natural gas, and renewables, and securing 10 GW in data center power contracts represents a strategic pivot toward the AI economy [3]. AI Deployment (1/2): Southern Nuclear received the IAEA Global ISOP Innovation Award for pioneering AI applications in nuclear power operations [3]. The company uses AI and advanced analytics for operational efficiency, but these are internal productivity tools rather than customer-facing AI products. Market Share (2/2): Southern Company is the dominant utility in the Southeast U.S. — the fastest-growing region in the nation for population and data center demand — serving 9 million customers across a territory with favorable regulatory environments and abundant land [1][2]. Product Pipeline (1/2): The 10 GW data center power pipeline, continued renewable buildout, interest in small modular reactors, and potential nuclear fleet expansion provide meaningful forward visibility, though capital intensity and regulatory timelines limit near-term revenue impact [3]. R&amp;D Intensity (0/1): Utility R&amp;D spending is inherently low relative to technology sectors; Southern Company participates in EPRI research but R&amp;D as a percentage of revenue is below the broader market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Southern Company's purpose — providing clean, safe, reliable, and affordable energy — is clear and identifies the company's role in society, but is standard utility language that does not meaningfully differentiate from peers like Duke Energy, NextEra, or Dominion [3]. The 'Good Energy' culture brand reflects genuine intentionality, though the CEO's advocacy for extending coal plant lifetimes creates tension with the clean energy message. Community Impact (1/2): Southern Company has meaningful community programs through its regulated subsidiaries — Georgia Power's community investment programs, charitable giving, and workforce development across the Southeast [3]. However, Vogtle cost overruns resulted in residential rate increases that created community burden rather than pure benefit [4]. Employee Retention (1/2): CEO Womack's 35+ year tenure and the company's deep bench of internal promotions suggest a retention-oriented culture with strong institutional loyalty; the utility sector generally enjoys stable, long-tenured workforces [3]. However, no specific turnover or tenure data was found. Insider Buying (0/2): No evidence of meaningful net insider buying over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Southern Company's strongest metrics are its extraordinary dividend payment history — 78 consecutive years of payments since 1948 and approximately 24 consecutive years of increases — which both score 1.0 with combined 3x weighting [5]. Forward P/E of 18.4 meets the 20x target (score 1.0), and ROE of 11.5% provides partial credit of 0.77 [5][6]. The primary drags are D/E of 182% — typical for regulated utilities but well above the 70% target, scoring 0.51 — and the elevated payout ratio of 71.8% (score 0.47), which limits dividend safety margin. Revenue growth is flat at 0.1% in the most recent quarter (score 0.67) though the 5-year CAGR of approximately 5% scores better (0.67). Profit margin of 15.4% is solid for utilities but below the 20% target (score 0.77). The 5-year dividend growth CAGR of approximately 2.9% is below the 6% target, scoring 0.48 with 2x weight. Daily dollar volume of ~$544M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Southern Company has operated continuously for over 120 years (founded 1906), demonstrating remarkable organizational endurance through two World Wars, the Great Depression, energy crises, deregulation, and now the clean energy transition. The Vogtle nuclear completion — despite $30B+ in costs and years of delays — reflects willingness to invest in multi-decade infrastructure that transcends quarterly earnings optimization [4]. However, CEO Womack's advocacy for keeping coal plants online for AI data centers directly contradicts the company's stated commitment to clean energy, revealing tension between finite (profit from coal) and infinite (clean energy transition) thinking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Southern Company's purpose of providing essential energy services has been validated by 120 years of continuous operation — the company has served communities through every major crisis in American history [3]. The Vogtle nuclear completion, despite ruinous cost overruns, demonstrates commitment to long-term carbon-free energy even when the financial case was deeply underwater [4]. However, the purpose lacks the inspirational quality of a true Just Cause — providing electricity is essential but does not describe a future state that inspires sacrifice. The coal advocacy further dilutes purpose clarity.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Southern Company's stable utility culture generally supports trust — CEO Womack's 35+ year tenure and internal promotion pipeline suggest organizational continuity and career development [3]. The regulated utility model provides employment stability that creates a baseline of psychological safety, and the 'Good Energy' culture brand reflects intentionality about workplace environment. However, no specific evidence of exceptional trust practices or above-average employee empowerment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Southern Company's competitive posture is oriented toward collaboration rather than competitor destruction. The company participates actively in EPRI alongside peer utilities, sharing research and best practices. The regulated utility model inherently reduces rivalry since service territories are exclusive. Management focuses on serving customers and communities rather than 'beating' competitors, and has partnered with nuclear peers (Westinghouse, IAEA) rather than competing against them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Southern Company has executed a meaningful energy generation transformation — from a coal-dominated fleet to a diversified portfolio of nuclear (Vogtle), natural gas, solar, and wind [3][4]. The pivot to serving AI data centers (10 GW pipeline) represents strategic adaptation to a new demand driver. However, these transitions have been incremental rather than transformative, and the coal advocacy suggests the company has not fully committed to the clean energy pivot. The test of true existential flexibility would be voluntarily retiring profitable coal assets ahead of regulatory deadlines.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Vogtle nuclear completion is the defining courageous decision — Southern Company persisted through $30B+ in cost overruns, massive delays, and contractor bankruptcy (Westinghouse) to deliver the first new nuclear reactors in the U.S. in over 30 years [4]. This is genuine long-term investment over short-term earnings optimization. However, the courage is partially undermined by coal advocacy — choosing to keep coal plants running for near-term AI data center revenue rather than accelerating the clean energy transition suggests limits to leadership's willingness to sacrifice short-term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Southern Company at $90.71 (~18.4x forward earnings) offers a defensive, income-generating position with a powerful AI tailwind. The 10 GW data center power pipeline transforms the company from a slow-growth utility into an infrastructure beneficiary of the AI buildout, with Q1 2026 weather-normalized retail electricity sales up 2.3% driven by data center demand and Southeast population growth [2][3]. Adjusted EPS guidance of 8-9% growth through 2028 provides earnings visibility, while the $3.04 annual dividend (3.35% yield, 24 consecutive years of increases approaching Dividend Aristocrat status) offers reliable income [5][6]. Completed Vogtle nuclear units add 2+ GW of carbon-free baseload capacity with 60-80 year asset lives — ideal for 24/7 data center power needs. The regulated utility model provides earnings stability regardless of economic cycles, and Forward P/E of 18.4x is attractive relative to the sector.</w:t>
      </w:r>
    </w:p>
    <w:p>
      <w:pPr>
        <w:spacing w:after="120"/>
      </w:pPr>
      <w:r>
        <w:rPr>
          <w:rFonts w:ascii="Calibri" w:hAnsi="Calibri"/>
          <w:b w:val="0"/>
          <w:color w:val="3A4A28"/>
          <w:sz w:val="20"/>
        </w:rPr>
        <w:t>The bear case centers on the capital-intensive balance sheet, slow dividend growth, and regulatory risk. D/E of 182% is elevated even by utility standards, reflecting the Vogtle cost overruns that added billions in debt [4][6]. The 71.8% payout ratio limits dividend safety, and 2.9% five-year dividend growth barely outpaces inflation — Southern Company will never be a dividend growth compounder. Revenue growth is essentially flat at 0.1% in the most recent quarter despite the data center narrative, raising questions about when the 10 GW pipeline translates to actual revenue [2]. CEO Womack's advocacy for extending coal plant lifetimes creates ESG and regulatory risk — environmental groups and state regulators may push back, and the stance contradicts clean energy commitments. The Inspire Impact Score of -49 (MISALIGNED) reflects a negative faith-alignment attribution that limits the investor base for values-focused allocators. Rate case outcomes in Georgia and Alabama remain perennial risks for regulated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load growth accelerating in the Southeast U.S., with Southern Company's 10 GW pipeline translating to multi-billion dollar rate base additions that drive regulated earnings growth through 2030+ [3]</w:t>
      </w:r>
    </w:p>
    <w:p>
      <w:pPr>
        <w:spacing w:before="40" w:after="40"/>
        <w:ind w:left="283"/>
      </w:pPr>
      <w:r>
        <w:rPr>
          <w:rFonts w:ascii="Calibri" w:hAnsi="Calibri"/>
          <w:b/>
          <w:color w:val="4A6B25"/>
          <w:sz w:val="20"/>
        </w:rPr>
        <w:t xml:space="preserve">2. </w:t>
      </w:r>
      <w:r>
        <w:rPr>
          <w:rFonts w:ascii="Calibri" w:hAnsi="Calibri"/>
          <w:b w:val="0"/>
          <w:color w:val="3A4A28"/>
          <w:sz w:val="20"/>
        </w:rPr>
        <w:t>EPS growth trajectory of 8-9% through 2028 supported by Vogtle's full contribution, data center connections, and constructive regulatory outcomes — Q1 2026 adjusted EPS of $1.32 (+7.3%) demonstrates execution [1][2]</w:t>
      </w:r>
    </w:p>
    <w:p>
      <w:pPr>
        <w:spacing w:before="40" w:after="40"/>
        <w:ind w:left="283"/>
      </w:pPr>
      <w:r>
        <w:rPr>
          <w:rFonts w:ascii="Calibri" w:hAnsi="Calibri"/>
          <w:b/>
          <w:color w:val="4A6B25"/>
          <w:sz w:val="20"/>
        </w:rPr>
        <w:t xml:space="preserve">3. </w:t>
      </w:r>
      <w:r>
        <w:rPr>
          <w:rFonts w:ascii="Calibri" w:hAnsi="Calibri"/>
          <w:b w:val="0"/>
          <w:color w:val="3A4A28"/>
          <w:sz w:val="20"/>
        </w:rPr>
        <w:t>Approaching Dividend Aristocrat status (24 consecutive years of increases) could broaden the institutional investor base and support premium utility valuation among income-oriented strategies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 of 182% and 71.8% payout ratio create financial fragility — any unexpected capital expenditures, adverse rate case outcomes, or earnings shortfall could pressure the dividend growth streak [6]</w:t>
      </w:r>
    </w:p>
    <w:p>
      <w:pPr>
        <w:spacing w:before="40" w:after="40"/>
        <w:ind w:left="283"/>
      </w:pPr>
      <w:r>
        <w:rPr>
          <w:rFonts w:ascii="Calibri" w:hAnsi="Calibri"/>
          <w:b/>
          <w:color w:val="4A6B25"/>
          <w:sz w:val="20"/>
        </w:rPr>
        <w:t xml:space="preserve">2. </w:t>
      </w:r>
      <w:r>
        <w:rPr>
          <w:rFonts w:ascii="Calibri" w:hAnsi="Calibri"/>
          <w:b w:val="0"/>
          <w:color w:val="3A4A28"/>
          <w:sz w:val="20"/>
        </w:rPr>
        <w:t>Coal plant advocacy creates regulatory and reputational risk as environmental regulators, ESG-focused investors, and climate litigation increasingly target utilities maintaining fossil fuel generation beyond economic useful life [3]</w:t>
      </w:r>
    </w:p>
    <w:p>
      <w:pPr>
        <w:spacing w:before="40" w:after="40"/>
        <w:ind w:left="283"/>
      </w:pPr>
      <w:r>
        <w:rPr>
          <w:rFonts w:ascii="Calibri" w:hAnsi="Calibri"/>
          <w:b/>
          <w:color w:val="4A6B25"/>
          <w:sz w:val="20"/>
        </w:rPr>
        <w:t xml:space="preserve">3. </w:t>
      </w:r>
      <w:r>
        <w:rPr>
          <w:rFonts w:ascii="Calibri" w:hAnsi="Calibri"/>
          <w:b w:val="0"/>
          <w:color w:val="3A4A28"/>
          <w:sz w:val="20"/>
        </w:rPr>
        <w:t>AI data center load growth may disappoint if permitting delays, interconnection queue backlogs, or demand shortfalls slow the infrastructure buildout — revenue growth of just 0.1% in the latest quarter suggests the pipeline has not yet translated to meaningful top-line impact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Southern Company is structurally immune to AI disruption. The company operates physical generation, transmission, and distribution infrastructure that AI cannot replace — electrons must be generated by turbines, reactors, or solar panels and delivered through copper and steel [3]. AI adoption is a direct demand catalyst: data centers require enormous baseload power, and Southern Company has secured 10 GW of data center power contracts in its Southeast U.S. service territory, where land is available, electricity is relatively affordable, and regulatory environments are accommodating [3]. Q1 2026 weather-normalized retail electricity sales increased 2.3% YoY, driven partly by data center demand and population growth [2]. The regulated utility model provides additional insulation — rate-base returns are set by regulators regardless of technology disruption in other sectors. AI Opportunity (1/1): Southern Company directly monetizes AI-driven electricity demand growth through its 10 GW data center pipeline, translating AI expansion into regulated rate-base growth. Southern Nuclear's IAEA-award-winning AI deployment in nuclear operations demonstrates internal AI value creation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Southern Company Q1 2026 Earnings Release — Operating Revenues $8.4B (+8.0% YoY), Adjusted EPS $1.32, 8-9% EPS Growth Guidance Through 2028, SEC 8-K/Company Press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Southern Company Q1 2026 Analysis — Weather-Normalized Retail Electricity Sales +2.3%, Data Center Demand Driving Growth, Southeast Population Growth, Barchart/1819 News, May 2026</w:t>
      </w:r>
    </w:p>
    <w:p>
      <w:pPr>
        <w:spacing w:before="20" w:after="20"/>
        <w:ind w:left="170"/>
      </w:pPr>
      <w:r>
        <w:rPr>
          <w:rFonts w:ascii="Calibri" w:hAnsi="Calibri"/>
          <w:b/>
          <w:color w:val="4A6B25"/>
          <w:sz w:val="15"/>
        </w:rPr>
        <w:t xml:space="preserve">3. </w:t>
      </w:r>
      <w:r>
        <w:rPr>
          <w:rFonts w:ascii="Calibri" w:hAnsi="Calibri"/>
          <w:b w:val="0"/>
          <w:color w:val="3A4A28"/>
          <w:sz w:val="17"/>
        </w:rPr>
        <w:t>Southern Company Leadership &amp; Strategy — CEO Chris Womack (35+ Year Veteran), 10 GW Data Center Pipeline, Coal Advocacy, IAEA Nuclear AI Award, Power Engineering/Washington Post, 2026</w:t>
      </w:r>
    </w:p>
    <w:p>
      <w:pPr>
        <w:spacing w:before="20" w:after="20"/>
        <w:ind w:left="170"/>
      </w:pPr>
      <w:r>
        <w:rPr>
          <w:rFonts w:ascii="Calibri" w:hAnsi="Calibri"/>
          <w:b/>
          <w:color w:val="4A6B25"/>
          <w:sz w:val="15"/>
        </w:rPr>
        <w:t xml:space="preserve">4. </w:t>
      </w:r>
      <w:r>
        <w:rPr>
          <w:rFonts w:ascii="Calibri" w:hAnsi="Calibri"/>
          <w:b w:val="0"/>
          <w:color w:val="3A4A28"/>
          <w:sz w:val="17"/>
        </w:rPr>
        <w:t>Vogtle Nuclear Units 3 &amp; 4 — $30B+ Total Cost, First New U.S. Reactors in 30+ Years, 2+ GW Carbon-Free Capacity, 60-80 Year Asset Lives, IEEFA/Utility Dive</w:t>
      </w:r>
    </w:p>
    <w:p>
      <w:pPr>
        <w:spacing w:before="20" w:after="20"/>
        <w:ind w:left="170"/>
      </w:pPr>
      <w:r>
        <w:rPr>
          <w:rFonts w:ascii="Calibri" w:hAnsi="Calibri"/>
          <w:b/>
          <w:color w:val="4A6B25"/>
          <w:sz w:val="15"/>
        </w:rPr>
        <w:t xml:space="preserve">5. </w:t>
      </w:r>
      <w:r>
        <w:rPr>
          <w:rFonts w:ascii="Calibri" w:hAnsi="Calibri"/>
          <w:b w:val="0"/>
          <w:color w:val="3A4A28"/>
          <w:sz w:val="17"/>
        </w:rPr>
        <w:t>Southern Company Dividend History — 78 Consecutive Years Paid Since 1948, 24 Consecutive Years of Growth, Quarterly Rate $0.76, Annual $3.04, yfinance Dividend Data, October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SO Key Statistics: Forward P/E 18.43x, D/E 182%, ROE 11.5%, Profit Margin 15.4%, Dividend Yield 3.35%, Stock Price $90.71,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