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SPG</w:t>
      </w:r>
      <w:r>
        <w:rPr>
          <w:rFonts w:ascii="Calibri" w:hAnsi="Calibri"/>
          <w:b/>
          <w:color w:val="1A2010"/>
          <w:sz w:val="40"/>
        </w:rPr>
        <w:t xml:space="preserve">  Simon Property Group, Inc.</w:t>
      </w:r>
    </w:p>
    <w:p>
      <w:pPr>
        <w:spacing w:after="120"/>
      </w:pPr>
      <w:r>
        <w:rPr>
          <w:rFonts w:ascii="Calibri" w:hAnsi="Calibri"/>
          <w:b/>
          <w:color w:val="6E8450"/>
          <w:sz w:val="18"/>
        </w:rPr>
        <w:t>DIVIDEND SLEEVE · 2026-09-18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Simon Property Group is the largest retail REIT in the United States, owning and operating premier shopping, dining, entertainment, and mixed-use destinations including malls, Premium Outlets, and The Mills. The company recently completed a generational leadership transition following the passing of longtime CEO David Simon, with Eli Simon now leading the company. Q2 2026 revenue reached $1.79B (+20% YoY) with Real Estate FFO per share growing 7.9% YoY. Full-year 2026 FFO guidance was raised to $13.10-$13.25 per diluted share. The portfolio benefits from broad-based leasing demand, accelerating foot traffic, and strong retailer sales. Market cap is approximately $66B.</w:t>
      </w:r>
    </w:p>
    <w:p>
      <w:r>
        <w:rPr>
          <w:rFonts w:ascii="Calibri" w:hAnsi="Calibri"/>
          <w:b/>
          <w:color w:val="6E8450"/>
          <w:sz w:val="18"/>
        </w:rPr>
        <w:t>3,100 Employees · https://www.simon.com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Simon has meaningfully evolved its retail real estate model beyond traditional mall ownership, transforming properties into mixed-use destinations with entertainment, dining, fitness, luxury, and experiential retail components. The $3.6B acquisition of Taubman Centers during the 2020 pandemic downturn demonstrated contrarian conviction when many predicted the death of the mall [1]. International expansion of Premium Outlets added geographic diversification. However, the core business model — owning and leasing retail space — remains fundamentally unchanged since the company's founding. AI Deployment (0/2): No AI-powered products or quantified AI-driven operational savings were identified. Simon may use data analytics for tenant selection and traffic optimization, but no specific AI deployment with measurable results has been disclosed. Market Share (2/2): Simon is the undisputed leader in U.S. retail REIT by revenue ($6.9B TTM) and market capitalization (~$66B), with the highest-quality portfolio of Class A malls and Premium Outlets in the country [1]. Revenue grew 20% YoY in Q2 2026 driven by acquisition contributions and organic leasing demand, and occupancy rates remain near historic highs across the portfolio. Product Pipeline (0/2): Ongoing mixed-use redevelopment projects across the portfolio, but no specific next-generation developments with named timelines and revenue visibility were identified beyond general capital recycling plans. R&amp;D Intensity (0/1): REITs do not conduct traditional R&amp;D. Simon invests in property redevelopment and capital improvements, but this is standard REIT capital expenditure rather than innovation-oriented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Simon articulates core values of passion, integrity, innovation, and commitment to excellence, and its sustainability framework centers on 'Creating Sustainable Communities' across four pillars — Customers, Communities, Environment, and Employees [3]. The purpose is clear and connects retail real estate to community creation, but it does not distinctively articulate a vision that transcends what any major REIT could claim. Community Impact (1/2): Simon's sustainability reporting follows GRI Standards and TCFD frameworks, with programs addressing environmental impact, community engagement, and sustainable building practices [3]. However, no specific dollar amounts for charitable giving or distinctive community investment programs were identified beyond standard corporate sustainability practices. Employee Retention (0/2): No specific employee retention data, average tenure metrics, or evidence of mission-driven retention was identified. The Comparably executive team rating of 'D' (bottom 15% of similar companies) suggests organizational challenges, though this is insufficient evidence for scoring [2].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Simon demonstrates exceptional profitability with ROE of 120.5% and profit margin of 66.6% (reflecting the REIT structure where depreciation is a major non-cash charge), both scoring maximum points [1]. Revenue growth YoY of 19.5% exceeds the 10% target, driven by acquisitions and organic leasing momentum, and the 3-year revenue CAGR of ~6.3% (2022-2025) contributes partially. The 32-year consecutive dividend payment history (since 1994) scores maximum at 2x weight, and the 5-year dividend growth CAGR of ~7.3% exceeds the 6% target at 2x weight. The primary drags are D/E of 503.5% — above the 300% floor (score 0), though this is structurally inherent to REIT capital structures with extensive mortgage financing — and Forward P/E of 29.75x (GAAP-based, reflecting large depreciation charges; FFO-based P/FFO is approximately 15.5x on $13.15 midpoint guidance). Payout ratio of 62.1% scores moderately, and consecutive years of dividend growth at 4 years (cut in 2020-2021) is below the 10-year target. The stock easily clears the liquidity floor at ~$338M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Simon Property Group has demonstrated enduring commitment to premier retail real estate through multiple cycles — surviving the 2008 financial crisis, the 'death of the mall' narrative, the COVID-19 pandemic, and the e-commerce revolution while maintaining and growing its portfolio. The generational transition from David Simon to Eli Simon reflects a family-led institution with deep roots. However, the company's purpose is rooted in asset quality and financial returns rather than a transcendent cause, and employee sentiment data suggests organizational challenges beneath the financial performance.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Simon's commitment to creating premier retail destinations that serve as community gathering places connects to a genuine purpose beyond pure asset ownership. David Simon built the company over decades into the undisputed leader in U.S. retail real estate, and the family's continued stewardship through Eli Simon suggests multigenerational conviction [1]. The 'Creating Sustainable Communities' framework connects the company's work to community impact. However, the purpose has not been tested through the kind of crisis that would distinguish a Just Cause from a well-run business — the COVID response (dividend cut, Taubman acquisition) was strategically sound but financially motivated.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Simon has maintained a stable organization with 3,100 employees and consistent leadership under the Simon family for decades. The recent appointment of key executives suggests orderly succession planning [2]. However, no specific evidence of exceptional employee empowerment, psychological safety practices, or cultural initiatives was identified. The organization appears adequately managed with standard REIT operational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management commentary acknowledging competitors' strengths or using competitive pressure for self-improvement. Simon operates from a position of dominance in retail REIT and has historically competed aggressively for assets and tenants rather than framing rivals as sources of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Simon has adapted its portfolio from traditional enclosed malls to mixed-use destinations incorporating entertainment, dining, luxury, and experiential retail — a meaningful evolution that has kept properties relevant as pure retail declined. The Premium Outlets concept and international expansion represent strategic extensions [1]. However, the core business model of owning and leasing commercial real estate has not fundamentally changed. The $3.6B Taubman acquisition during COVID showed opportunistic flexibility but was a portfolio expansion,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David Simon demonstrated meaningful courage by acquiring Taubman Centers for $3.6B during the COVID-19 pandemic when many predicted the permanent decline of physical retail — a contrarian bet that has proven prescient as mall traffic and leasing demand recovered strongly [1]. Maintaining the mixed-use transformation strategy through multiple cycles despite skepticism from investors and analysts also shows commitment. However, the dividend was cut in both 2009 and 2020, suggesting financial pragmatism ultimately prevails over maintaining commitments through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Simon Property Group at ~15.5x FFO ($13.15 midpoint guidance) offers the largest and highest-quality U.S. retail REIT portfolio at a reasonable valuation, with Q2 2026 revenue growing 20% YoY to $1.79B and Real Estate FFO per share increasing 7.9% driven by broad-based leasing demand, accelerating traffic, and strong retailer sales [1]. The 4.35% dividend yield ($8.90/share) is well-covered by FFO at a 62% payout ratio, and management raised full-year FFO guidance to $13.10-$13.25 per share, signaling confidence in continued momentum. The 32-year consecutive dividend payment history (since 1994) and 5-year dividend growth CAGR of 7.3% provide income quality, while the portfolio of irreplaceable Class A malls and Premium Outlets benefits from a structural shift toward experiential retail. The Inspire Impact Score of 48 (ALIGNED) with zero negative attributions is attractive for faith-based investors.</w:t>
      </w:r>
    </w:p>
    <w:p>
      <w:pPr>
        <w:spacing w:after="120"/>
      </w:pPr>
      <w:r>
        <w:rPr>
          <w:rFonts w:ascii="Calibri" w:hAnsi="Calibri"/>
          <w:b w:val="0"/>
          <w:color w:val="3A4A28"/>
          <w:sz w:val="20"/>
        </w:rPr>
        <w:t>The bear case centers on structural threats to physical retail, leadership transition risk, and balance sheet leverage. Despite strong current performance, e-commerce penetration continues to grow, and any macro downturn could accelerate tenant closures and reduce foot traffic — the dividend was cut in both 2009 and 2020 during recessions, undermining reliability for income investors [1]. The generational leadership transition from David Simon (who built the company over decades) to Eli Simon is untested through crisis, and the Comparably executive team rating of 'D' (bottom 15%) suggests organizational challenges that could surface under stress [2]. D/E of 503.5% reflects structural REIT leverage but creates vulnerability to rising interest rates on refinancing — with ~$30B in total debt, even modest rate increases generate significant incremental interest expense. Forward GAAP P/E of 29.75x (distorted by depreciation) and PEG of 4.58 suggest the stock is priced for sustained growth that may be difficult to maintain as the acquisition-driven revenue boost normalizes. Innovation is limited (4/10) — Simon remains fundamentally a commercial landlord without meaningful technology differentiation or AI-driven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full-year 2026 FFO guidance to $13.10-$13.25 per share, supported by 7.9% YoY FFO growth in Q2 and accelerating tenant demand, foot traffic, and retailer sales growth across the portfolio [1]</w:t>
      </w:r>
    </w:p>
    <w:p>
      <w:pPr>
        <w:spacing w:before="40" w:after="40"/>
        <w:ind w:left="283"/>
      </w:pPr>
      <w:r>
        <w:rPr>
          <w:rFonts w:ascii="Calibri" w:hAnsi="Calibri"/>
          <w:b/>
          <w:color w:val="4A6B25"/>
          <w:sz w:val="20"/>
        </w:rPr>
        <w:t xml:space="preserve">2. </w:t>
      </w:r>
      <w:r>
        <w:rPr>
          <w:rFonts w:ascii="Calibri" w:hAnsi="Calibri"/>
          <w:b w:val="0"/>
          <w:color w:val="3A4A28"/>
          <w:sz w:val="20"/>
        </w:rPr>
        <w:t>Revenue growing 20% YoY to $1.79B in Q2 2026, with contributions from prior-year acquisitions and organic leasing momentum at occupancy rates near historic highs [1]</w:t>
      </w:r>
    </w:p>
    <w:p>
      <w:pPr>
        <w:spacing w:before="40" w:after="40"/>
        <w:ind w:left="283"/>
      </w:pPr>
      <w:r>
        <w:rPr>
          <w:rFonts w:ascii="Calibri" w:hAnsi="Calibri"/>
          <w:b/>
          <w:color w:val="4A6B25"/>
          <w:sz w:val="20"/>
        </w:rPr>
        <w:t xml:space="preserve">3. </w:t>
      </w:r>
      <w:r>
        <w:rPr>
          <w:rFonts w:ascii="Calibri" w:hAnsi="Calibri"/>
          <w:b w:val="0"/>
          <w:color w:val="3A4A28"/>
          <w:sz w:val="20"/>
        </w:rPr>
        <w:t>Eli Simon's leadership era beginning with fresh strategic perspective and family continuity, potentially unlocking value through portfolio optimization, international expansion, and mixed-use redevelopment of underperforming assets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cut twice in the last 17 years (2009 and 2020) undermines reliability for income investors — at 62% FFO payout, the current $8.90/share dividend requires sustained FFO growth to maintain, and any recession-driven decline in tenant health or foot traffic could trigger another cut [1]</w:t>
      </w:r>
    </w:p>
    <w:p>
      <w:pPr>
        <w:spacing w:before="40" w:after="40"/>
        <w:ind w:left="283"/>
      </w:pPr>
      <w:r>
        <w:rPr>
          <w:rFonts w:ascii="Calibri" w:hAnsi="Calibri"/>
          <w:b/>
          <w:color w:val="4A6B25"/>
          <w:sz w:val="20"/>
        </w:rPr>
        <w:t xml:space="preserve">2. </w:t>
      </w:r>
      <w:r>
        <w:rPr>
          <w:rFonts w:ascii="Calibri" w:hAnsi="Calibri"/>
          <w:b w:val="0"/>
          <w:color w:val="3A4A28"/>
          <w:sz w:val="20"/>
        </w:rPr>
        <w:t>Generational leadership transition from David Simon (company architect) to Eli Simon is untested through crisis, and low employee sentiment scores (Comparably executive team 'D' rating) suggest organizational culture challenges beneath the financial surface [2]</w:t>
      </w:r>
    </w:p>
    <w:p>
      <w:pPr>
        <w:spacing w:before="40" w:after="40"/>
        <w:ind w:left="283"/>
      </w:pPr>
      <w:r>
        <w:rPr>
          <w:rFonts w:ascii="Calibri" w:hAnsi="Calibri"/>
          <w:b/>
          <w:color w:val="4A6B25"/>
          <w:sz w:val="20"/>
        </w:rPr>
        <w:t xml:space="preserve">3. </w:t>
      </w:r>
      <w:r>
        <w:rPr>
          <w:rFonts w:ascii="Calibri" w:hAnsi="Calibri"/>
          <w:b w:val="0"/>
          <w:color w:val="3A4A28"/>
          <w:sz w:val="20"/>
        </w:rPr>
        <w:t>D/E of 503.5% with ~$30B total debt creates significant interest rate sensitivity — refinancing maturing debt at higher rates could compress FFO per share and limit dividend growth capacity in a sustained higher-rate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Simon's core business — owning and operating physical retail destinations including malls, Premium Outlets, and mixed-use properties — is structurally immune to AI disruption. Physical shopping locations serve social, experiential, and sensory functions that AI cannot replicate, and Simon's Class A properties increasingly function as entertainment and dining destinations rather than pure retail [1]. The greater structural threat is e-commerce (already priced into REIT valuations since 2015), not AI. AI may actually benefit Simon through improved tenant analytics, personalized marketing, foot traffic optimization, and smart building management. No analysts have flagged AI as a substitution risk for premium retail real estate. AI Opportunity (0/1): No AI-related revenue was identified. While Simon likely employs property technology for operations, there is no quantifiable AI revenue stream or AI-powered product offering disclosed to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Simon Property Group Q2 2026 Earnings Release — Revenue $1.79B (+20% YoY), FFO $3.17/share (+7.9%), Raised FY2026 FFO Guidance to $13.10-$13.25, investors.simon.com, August 2026</w:t>
      </w:r>
    </w:p>
    <w:p>
      <w:pPr>
        <w:spacing w:before="20" w:after="20"/>
        <w:ind w:left="170"/>
      </w:pPr>
      <w:r>
        <w:rPr>
          <w:rFonts w:ascii="Calibri" w:hAnsi="Calibri"/>
          <w:b/>
          <w:color w:val="4A6B25"/>
          <w:sz w:val="15"/>
        </w:rPr>
        <w:t xml:space="preserve">2. </w:t>
      </w:r>
      <w:r>
        <w:rPr>
          <w:rFonts w:ascii="Calibri" w:hAnsi="Calibri"/>
          <w:b w:val="0"/>
          <w:color w:val="3A4A28"/>
          <w:sz w:val="17"/>
        </w:rPr>
        <w:t>Simon Property Group Leadership Transition — David Simon Passing, Eli Simon Era Begins, Key Executive Appointments, Larry Glasscock Non-Executive Chairman, barchart.com and TIKR, 2026</w:t>
      </w:r>
    </w:p>
    <w:p>
      <w:pPr>
        <w:spacing w:before="20" w:after="20"/>
        <w:ind w:left="170"/>
      </w:pPr>
      <w:r>
        <w:rPr>
          <w:rFonts w:ascii="Calibri" w:hAnsi="Calibri"/>
          <w:b/>
          <w:color w:val="4A6B25"/>
          <w:sz w:val="15"/>
        </w:rPr>
        <w:t xml:space="preserve">3. </w:t>
      </w:r>
      <w:r>
        <w:rPr>
          <w:rFonts w:ascii="Calibri" w:hAnsi="Calibri"/>
          <w:b w:val="0"/>
          <w:color w:val="3A4A28"/>
          <w:sz w:val="17"/>
        </w:rPr>
        <w:t>Simon Property Group ESG and Sustainability — Creating Sustainable Communities Framework, GRI/TCFD Reporting, MSCI BB Rating, KnowESG and investors.simon.com,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