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SRAD</w:t>
      </w:r>
      <w:r>
        <w:rPr>
          <w:rFonts w:ascii="Calibri" w:hAnsi="Calibri"/>
          <w:b/>
          <w:color w:val="1A2010"/>
          <w:sz w:val="40"/>
        </w:rPr>
        <w:t xml:space="preserve">  Sportradar Group AG</w:t>
      </w:r>
    </w:p>
    <w:p>
      <w:pPr>
        <w:spacing w:after="120"/>
      </w:pPr>
      <w:r>
        <w:rPr>
          <w:rFonts w:ascii="Calibri" w:hAnsi="Calibri"/>
          <w:b/>
          <w:color w:val="6E8450"/>
          <w:sz w:val="18"/>
        </w:rPr>
        <w:t>GROWTH SLEEVE · 2026-09-07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Gambling, Resorts &amp; Casinos · NASDAQ · Switzerland</w:t>
      </w:r>
    </w:p>
    <w:p>
      <w:pPr>
        <w:spacing w:after="80"/>
      </w:pPr>
      <w:r>
        <w:rPr>
          <w:rFonts w:ascii="Calibri" w:hAnsi="Calibri"/>
          <w:b w:val="0"/>
          <w:color w:val="3A4A28"/>
          <w:sz w:val="20"/>
        </w:rPr>
        <w:t>Sportradar is a global leader in sports technology providing data, content, and integrity services to bookmakers, sports federations, and media companies. The company powers sports betting technology, streaming, and AI-driven content across more than 900 sports betting operators worldwide and holds exclusive data partnerships with the NBA, NFL, NHL, MLB, ATP, and FIFA. Covers 900,000+ events annually across 80+ sports. Employs 150+ AI scientists and engineers. Q2 2026 revenue reached €378M (+19% YoY), with full-year guidance of €1.52-1.53B and 24% adjusted EBITDA growth. Market cap ~$3.8B.</w:t>
      </w:r>
    </w:p>
    <w:p>
      <w:r>
        <w:rPr>
          <w:rFonts w:ascii="Calibri" w:hAnsi="Calibri"/>
          <w:b/>
          <w:color w:val="6E8450"/>
          <w:sz w:val="18"/>
        </w:rPr>
        <w:t>5,090 Employees · https://www.sportradar.com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Sportradar transformed from a sports data aggregator to a full-stack sports tech platform, delivering Q2 2026 revenue of €378M (+19% YoY) with full-year guidance of €1.52-1.53B (+19-21% constant currency) [1]. The IMG ARENA acquisition integration is driving incremental growth through exclusive global sports content rights in golf, tennis, and MMA, and revenue has nearly tripled from €561M in 2021 to a guided €1.53B in 2026 [1]. AI Deployment (2/2): CTO/CAIO Behshad Behzadi (former Google Assistant co-founder, Google Lens creator) is deploying generative AI across the product suite — predictive modeling, live streaming personalization, computer vision for automated data capture from 900K+ events, and the Universal Fraud Detection System monitoring 850,000+ matches with machine learning [2]. Market Share (2/2): Sportradar is the dominant global sports data integrator, holding exclusive multi-year rights with NBA, NFL, NHL, MLB, ATP, IOC, and FIFA, covering 900+ bookmakers and streaming 525,000+ matches with plans to exceed 700,000 in 2026 [1][2]. Product Pipeline (1/2): IMG ARENA content rights monetization is expanding, prediction-market products are in development, and the €1.52-1.53B revenue guidance shows visible acceleration, but long-dated pipeline visibility is limited by rights renewal cycles [1]. R&amp;D Intensity (0/1): R&amp;D spend is not separately disclosed at a premium to peers; most tech investment is embedded in content operations and AI team of 150+ scientists.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Sportradar's vision to become 'the engine of the sports world' is clear and connects the data business to broader sports technology transformation, but remains commercially focused without deeper societal purpose beyond integrity services [2]. Founder-CEO Carsten Koerl has led since 2001, lending 25 years of continuity. Community Impact (1/2): Sportradar's Integrity Services combat match-fixing globally, partnering with 120+ organizations including the UN Office on Drugs and Crime since 2004 — a meaningful contribution to fair sport that goes beyond profit motive [3]. No specific dollar-scale charitable foundation disclosed. Employee Retention (0/2): Glassdoor reviews paint a concerning picture — leadership described as 'deeply entrenched, risk-averse, and out of sync with the current pace of innovation' with a 'culture of deference and self-preservation' [2]. CEO criticized for micromanagement via point-to-point Zoom calls, and talent drain among high performers is reportedly accelerating. Insider Buying (2/2): CEO Koerl purchased 340,000 shares plus an additional 157,801 shares in open-market transactions in May 2026 at approximately $13.40, lifting direct holdings to 2.62M shares — totaling over $6.7M in personal investment [4]. Director Walder bought 66,000 shares at $12.77 and Director Bigley bought 3,940 shares. This represents significant multi-executive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Balance sheet is pristine — D/E of 7% with a net cash position of $300M, scoring a perfect 1.0 on leverage [1]. Revenue growth is strong at 19% YoY in Q2 2026 and approximately 23% 5-year CAGR (€561M in 2021 to €1,290M in 2025), both well above the 10% targets [1]. Forward P/E of 23.06 is slightly above the 20x target but reasonable for a high-growth business, scoring 0.92. ROE of 7.42% is below the 15% target (scoring 0.49 at 2x weight) and remains the key drag as GAAP profitability lags revenue scale [5]. Net profit margin of 5.27% is well below the 20% target (scoring 0.26), reflecting heavy investment in content rights and IMG ARENA amortization. Forward PEG of 1.86 scores moderately at 0.57 against the 1.0 target. Liquidity floor easily cleared: avg daily volume ~2M shares × $12.89 = ~$25.8M.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Sportradar is a long-duration founder-led business with 25 years of consistent leadership and expansive multi-year league partnerships that imply infinite-horizon thinking. Koerl's tenure since 2001 and investment in AI capabilities demonstrate building to endure. However, persistent employee culture concerns — micromanagement, centralized control, and accelerating talent drain — undermine the trusting teams foundation essential to Sinek's infinite game framework. The competitive strategy of locking up exclusive data rights to deny rivals access is finite in nature, though the integrity monitoring mission adds genuine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Carsten Koerl has held the helm since founding in 2001, pursuing the vision of becoming 'the engine of the sports world' across two decades, multiple sports rights cycles, and the 2021 IPO transition [2]. The Integrity Services division, combating match-fixing with 120+ organizations including the UN Office on Drugs and Crime since 2004, adds genuine societal purpose [3]. However, the business is fundamentally intertwined with the gambling industry, which limits the loftiness of the Just Cause in Sinek's framework. The cause has been consistent but not yet validated through existential crisis.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Updated Glassdoor evidence reveals a low-trust environment. Leadership is described as 'deeply entrenched, risk-averse, and out of sync with the current pace of innovation' with a 'culture of deference and self-preservation that has replaced curiosity, challenge, and accountability' [2]. CEO Koerl reportedly runs the company through point-to-point Zoom calls, controls majority board votes, and has implemented return-to-office mandates alongside constant priority switching and low compensation increases. Talent drain among high performers is reportedly accelerating. This organizational culture is antithetical to Sinek's Circle of Safety model.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Koerl has stated 'we want to stay curious,' framing competition as motivation for improvement rather than warfare [2]. Sportradar's competitive approach focuses on building the best technology platform and deepening league partnerships through superior AI capabilities and data quality. The company acknowledges rivals like Genius Sports while investing in differentiation through technology rather than negative competitive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Sportradar evolved from a pure European data feed provider to a full-stack global betting technology, streaming, AI, and integrity-services platform over 25 years [1][2]. The IMG ARENA acquisition and expansion into prediction markets represent meaningful strategic adaptation. However, these represent incremental platform extensions rather than the transformative bet-the-company pivot that Sinek's framework rewards with the highest score — the core business of sports data provision has remained constant.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Koerl demonstrated personal conviction by purchasing $6.7M+ in SRAD shares in May 2026 as the stock traded near 52-week lows [4]. Long-term investments include the AI leadership hire (Behzadi from Google), multi-year league rights renewals (FIFA, NBA extensions), and the $1B total share buyback authorization [1]. The IMG ARENA acquisition during market uncertainty showed capital allocation courage. However, the centralized leadership style and persistent reliance on gambling revenue without diversification into non-gambling sports technology suggests optimization for current success rather than courageous long-term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Sportradar at 23x forward earnings is a high-growth sports technology platform delivering 19% revenue growth in Q2 2026 (€378M) with full-year guidance of €1.52-1.53B (+19-21% constant currency) and adjusted EBITDA margin expanding to 23.7-24.0% [1]. The company's moat is contractual — exclusive multi-year data rights with all four major North American leagues, ATP, IOC, and FIFA create structural barriers that AI alone cannot overcome. Revenue has nearly tripled from €561M in 2021 to guided €1.53B in 2026, a ~23% CAGR. The IMG ARENA acquisition adds exclusive global sports betting content rights across golf, tennis, and MMA, expanding the addressable market significantly. CEO Koerl's $6.7M+ personal share purchase in May 2026, combined with the $250M accelerated buyback and $1B total repurchase authorization, signals strong management conviction in intrinsic value [4]. Record free cash flow of €167M in FY2025 (+38% in Q1 2026) demonstrates improving cash conversion that should continue as margin expansion accelerates.</w:t>
      </w:r>
    </w:p>
    <w:p>
      <w:pPr>
        <w:spacing w:after="120"/>
      </w:pPr>
      <w:r>
        <w:rPr>
          <w:rFonts w:ascii="Calibri" w:hAnsi="Calibri"/>
          <w:b w:val="0"/>
          <w:color w:val="3A4A28"/>
          <w:sz w:val="20"/>
        </w:rPr>
        <w:t>The bear case centers on profitability, governance, and market maturation. Net profit margin of just 5.27% and ROE of 7.42% are well below technology company standards, reflecting heavy investment in content rights and IMG ARENA acquisition amortization [5]. The trailing P/E of ~47x demands sustained revenue acceleration that may be difficult as the U.S. sports betting market slows — management noted no major state openings expected and delays in prediction-market deals in their Q2 2026 update [1]. Employee culture is a red flag — Glassdoor reviews describe 'a culture of deference and self-preservation' with accelerating talent drain among high performers, which could undermine technology platform competitiveness at a critical AI integration period [2]. Currency headwinds from EUR/USD translation add revenue volatility (EUR9.3M FX loss in Q1 2026 drove a net loss). The Inspire Impact Score of -1 (MIXED) reflects the Gambling negative attribution, limiting allocation for faith-based investors. Rights cost inflation at league renewals could squeeze margins if Sportradar cannot pass through costs to bookmakers.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IMG ARENA content rights monetization ramping through 2026-2027 as exclusive golf, tennis, and MMA data feeds generate incremental revenue and cross-selling synergies across managed trading and advertising platforms drive margin expansion toward the 23.7-24.0% EBITDA guide [1]</w:t>
      </w:r>
    </w:p>
    <w:p>
      <w:pPr>
        <w:spacing w:before="40" w:after="40"/>
        <w:ind w:left="283"/>
      </w:pPr>
      <w:r>
        <w:rPr>
          <w:rFonts w:ascii="Calibri" w:hAnsi="Calibri"/>
          <w:b/>
          <w:color w:val="4A6B25"/>
          <w:sz w:val="20"/>
        </w:rPr>
        <w:t xml:space="preserve">2. </w:t>
      </w:r>
      <w:r>
        <w:rPr>
          <w:rFonts w:ascii="Calibri" w:hAnsi="Calibri"/>
          <w:b w:val="0"/>
          <w:color w:val="3A4A28"/>
          <w:sz w:val="20"/>
        </w:rPr>
        <w:t>AI-native product expansion under CTO/CAIO Behshad Behzadi (ex-Google) — prediction markets, personalized streaming, automated content, and computer vision across 700K+ streamed events, positioning Sportradar at the intersection of sports data and generative AI [2]</w:t>
      </w:r>
    </w:p>
    <w:p>
      <w:pPr>
        <w:spacing w:before="40" w:after="40"/>
        <w:ind w:left="283"/>
      </w:pPr>
      <w:r>
        <w:rPr>
          <w:rFonts w:ascii="Calibri" w:hAnsi="Calibri"/>
          <w:b/>
          <w:color w:val="4A6B25"/>
          <w:sz w:val="20"/>
        </w:rPr>
        <w:t xml:space="preserve">3. </w:t>
      </w:r>
      <w:r>
        <w:rPr>
          <w:rFonts w:ascii="Calibri" w:hAnsi="Calibri"/>
          <w:b w:val="0"/>
          <w:color w:val="3A4A28"/>
          <w:sz w:val="20"/>
        </w:rPr>
        <w:t>$1B total authorized share repurchase program including $250M accelerated buyback, supported by record free cash flow (€167M in FY2025) and pristine balance sheet (D/E 7%, $300M net cash), reducing share count and compounding per-share value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Persistently thin profitability (5.27% net margin, 7.42% ROE) at a 47x trailing P/E creates significant downside risk if revenue growth decelerates below the 19-21% guided range, as the valuation embeds no margin for earnings disappointments [5]</w:t>
      </w:r>
    </w:p>
    <w:p>
      <w:pPr>
        <w:spacing w:before="40" w:after="40"/>
        <w:ind w:left="283"/>
      </w:pPr>
      <w:r>
        <w:rPr>
          <w:rFonts w:ascii="Calibri" w:hAnsi="Calibri"/>
          <w:b/>
          <w:color w:val="4A6B25"/>
          <w:sz w:val="20"/>
        </w:rPr>
        <w:t xml:space="preserve">2. </w:t>
      </w:r>
      <w:r>
        <w:rPr>
          <w:rFonts w:ascii="Calibri" w:hAnsi="Calibri"/>
          <w:b w:val="0"/>
          <w:color w:val="3A4A28"/>
          <w:sz w:val="20"/>
        </w:rPr>
        <w:t>Employee culture dysfunction — Glassdoor reviews describe centralized CEO control, accelerating talent drain among high performers, and a culture of self-preservation that could undermine technology platform competitiveness during the critical AI integration period [2]</w:t>
      </w:r>
    </w:p>
    <w:p>
      <w:pPr>
        <w:spacing w:before="40" w:after="40"/>
        <w:ind w:left="283"/>
      </w:pPr>
      <w:r>
        <w:rPr>
          <w:rFonts w:ascii="Calibri" w:hAnsi="Calibri"/>
          <w:b/>
          <w:color w:val="4A6B25"/>
          <w:sz w:val="20"/>
        </w:rPr>
        <w:t xml:space="preserve">3. </w:t>
      </w:r>
      <w:r>
        <w:rPr>
          <w:rFonts w:ascii="Calibri" w:hAnsi="Calibri"/>
          <w:b w:val="0"/>
          <w:color w:val="3A4A28"/>
          <w:sz w:val="20"/>
        </w:rPr>
        <w:t>U.S. sports betting market maturation with no major new state openings expected, combined with regulatory and tax headwinds in international markets and rights cost inflation at league renewals, could compress the secular growth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Sportradar is not disrupted by AI — it IS an AI-driven sports data and integrity platform. The business depends on exclusive multi-year rights contracts with leagues (NBA, NFL, NHL, MLB, ATP, FIFA) that AI tools cannot replicate, and real-time live data ingestion, computer vision, and integrity fraud detection are AI-native workflows [1][2]. The moat is the combination of exclusive data access (contractual) and AI-powered processing (technological), creating a structural barrier that pure AI cannot overcome without the underlying data rights. However, AI-powered computer vision and alternative data collection could enable competitors to generate unofficial sports data, creating some long-term substitution risk for non-exclusive products. AI Opportunity (1/1): Sportradar generates AI-embedded revenue throughout its product suite — AI-powered managed trading services, machine learning-driven fraud detection monitoring 850,000+ matches annually, generative AI advertising technology (ad:s platform), and computer vision for automated data capture across 900K+ events [1][2]. The appointment of a former Google AI executive as CTO/CAIO signals deepening AI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Sportradar Q2 2026 Earnings Release — Revenue €378M (+19% YoY), FY2026 Guidance €1.52-1.53B, Adjusted EBITDA Margin 23.7-24.0%, $250M Accelerated Buyback, July 2026</w:t>
      </w:r>
    </w:p>
    <w:p>
      <w:pPr>
        <w:spacing w:before="20" w:after="20"/>
        <w:ind w:left="170"/>
      </w:pPr>
      <w:r>
        <w:rPr>
          <w:rFonts w:ascii="Calibri" w:hAnsi="Calibri"/>
          <w:b/>
          <w:color w:val="4A6B25"/>
          <w:sz w:val="15"/>
        </w:rPr>
        <w:t xml:space="preserve">2. </w:t>
      </w:r>
      <w:r>
        <w:rPr>
          <w:rFonts w:ascii="Calibri" w:hAnsi="Calibri"/>
          <w:b w:val="0"/>
          <w:color w:val="3A4A28"/>
          <w:sz w:val="17"/>
        </w:rPr>
        <w:t>Sportradar Leadership, AI Strategy, and Culture — CTO/CAIO Behzadi (ex-Google) Appointment, 150+ AI Scientists, Glassdoor Employee Reviews, Investor Relations, 2025-2026</w:t>
      </w:r>
    </w:p>
    <w:p>
      <w:pPr>
        <w:spacing w:before="20" w:after="20"/>
        <w:ind w:left="170"/>
      </w:pPr>
      <w:r>
        <w:rPr>
          <w:rFonts w:ascii="Calibri" w:hAnsi="Calibri"/>
          <w:b/>
          <w:color w:val="4A6B25"/>
          <w:sz w:val="15"/>
        </w:rPr>
        <w:t xml:space="preserve">3. </w:t>
      </w:r>
      <w:r>
        <w:rPr>
          <w:rFonts w:ascii="Calibri" w:hAnsi="Calibri"/>
          <w:b w:val="0"/>
          <w:color w:val="3A4A28"/>
          <w:sz w:val="17"/>
        </w:rPr>
        <w:t>Sportradar ESG and Integrity Services — Match-Fixing Monitoring with 120+ Organizations Including UN Since 2004, Sustainability Report FY2025, sportradar.com/esg</w:t>
      </w:r>
    </w:p>
    <w:p>
      <w:pPr>
        <w:spacing w:before="20" w:after="20"/>
        <w:ind w:left="170"/>
      </w:pPr>
      <w:r>
        <w:rPr>
          <w:rFonts w:ascii="Calibri" w:hAnsi="Calibri"/>
          <w:b/>
          <w:color w:val="4A6B25"/>
          <w:sz w:val="15"/>
        </w:rPr>
        <w:t xml:space="preserve">4. </w:t>
      </w:r>
      <w:r>
        <w:rPr>
          <w:rFonts w:ascii="Calibri" w:hAnsi="Calibri"/>
          <w:b w:val="0"/>
          <w:color w:val="3A4A28"/>
          <w:sz w:val="17"/>
        </w:rPr>
        <w:t>Sportradar Insider Transactions — CEO Koerl 497,801 Share Purchase ($6.7M+), Director Walder 66,000 Shares, Director Bigley 3,940 Shares, SEC Form 4 Filings, May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SRAD Key Statistics: Forward P/E 23.06x, PEG 1.86, ROE 7.42%, D/E 7%, Profit Margin 5.27%, Stock Price $12.89,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