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drawing>
          <wp:inline xmlns:a="http://schemas.openxmlformats.org/drawingml/2006/main" xmlns:pic="http://schemas.openxmlformats.org/drawingml/2006/picture">
            <wp:extent cx="1371600" cy="723227"/>
            <wp:docPr id="1" name="Picture 1"/>
            <wp:cNvGraphicFramePr>
              <a:graphicFrameLocks noChangeAspect="1"/>
            </wp:cNvGraphicFramePr>
            <a:graphic>
              <a:graphicData uri="http://schemas.openxmlformats.org/drawingml/2006/picture">
                <pic:pic>
                  <pic:nvPicPr>
                    <pic:cNvPr id="0" name="image.png"/>
                    <pic:cNvPicPr/>
                  </pic:nvPicPr>
                  <pic:blipFill>
                    <a:blip r:embed="rId9"/>
                    <a:stretch>
                      <a:fillRect/>
                    </a:stretch>
                  </pic:blipFill>
                  <pic:spPr>
                    <a:xfrm>
                      <a:off x="0" y="0"/>
                      <a:ext cx="1371600" cy="723227"/>
                    </a:xfrm>
                    <a:prstGeom prst="rect"/>
                  </pic:spPr>
                </pic:pic>
              </a:graphicData>
            </a:graphic>
          </wp:inline>
        </w:drawing>
      </w:r>
    </w:p>
    <w:p>
      <w:pPr>
        <w:spacing w:before="120" w:after="40"/>
      </w:pPr>
      <w:r>
        <w:rPr>
          <w:rFonts w:ascii="Calibri" w:hAnsi="Calibri"/>
          <w:b/>
          <w:color w:val="4A6B25"/>
          <w:sz w:val="56"/>
        </w:rPr>
        <w:t>SRRK</w:t>
      </w:r>
      <w:r>
        <w:rPr>
          <w:rFonts w:ascii="Calibri" w:hAnsi="Calibri"/>
          <w:b/>
          <w:color w:val="1A2010"/>
          <w:sz w:val="40"/>
        </w:rPr>
        <w:t xml:space="preserve">  Scholar Rock Holding Corporation</w:t>
      </w:r>
    </w:p>
    <w:p>
      <w:pPr>
        <w:spacing w:after="120"/>
      </w:pPr>
      <w:r>
        <w:rPr>
          <w:rFonts w:ascii="Calibri" w:hAnsi="Calibri"/>
          <w:b/>
          <w:color w:val="6E8450"/>
          <w:sz w:val="18"/>
        </w:rPr>
        <w:t>GROWTH SLEEVE · 2026-09-28 · Inspire: 38 · MIXED</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1200" w:type="dxa"/>
      </w:tblPr>
      <w:tblGrid>
        <w:gridCol w:w="10800"/>
      </w:tblGrid>
      <w:tr>
        <w:tc>
          <w:tcPr>
            <w:tcW w:type="dxa" w:w="10800"/>
            <w:shd w:fill="E3F2FD" w:val="clear"/>
          </w:tcPr>
          <w:p>
            <w:pPr>
              <w:spacing w:before="40" w:after="40"/>
              <w:jc w:val="center"/>
            </w:pPr>
            <w:r>
              <w:rPr>
                <w:rFonts w:ascii="Calibri" w:hAnsi="Calibri"/>
                <w:b/>
                <w:color w:val="2563EB"/>
                <w:sz w:val="20"/>
              </w:rPr>
              <w:t>WATCH</w:t>
            </w:r>
          </w:p>
        </w:tc>
      </w:tr>
    </w:tbl>
    <w:p>
      <w:pPr>
        <w:spacing w:before="120" w:after="200"/>
      </w:pPr>
      <w:r>
        <w:rPr>
          <w:rFonts w:ascii="Calibri" w:hAnsi="Calibri"/>
          <w:b/>
          <w:color w:val="1A2010"/>
          <w:sz w:val="80"/>
        </w:rPr>
        <w:t>49</w:t>
      </w:r>
      <w:r>
        <w:rPr>
          <w:rFonts w:ascii="Calibri" w:hAnsi="Calibri"/>
          <w:b w:val="0"/>
          <w:color w:val="9DAF88"/>
          <w:sz w:val="28"/>
        </w:rPr>
        <w:t xml:space="preserve"> / </w:t>
      </w:r>
      <w:r>
        <w:rPr>
          <w:rFonts w:ascii="Calibri" w:hAnsi="Calibri"/>
          <w:b w:val="0"/>
          <w:color w:val="9DAF88"/>
          <w:sz w:val="24"/>
        </w:rPr>
        <w:t>100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COMPANY PROFILE</w:t>
            </w:r>
          </w:p>
        </w:tc>
      </w:tr>
    </w:tbl>
    <w:p>
      <w:r>
        <w:rPr>
          <w:rFonts w:ascii="Calibri" w:hAnsi="Calibri"/>
          <w:b/>
          <w:color w:val="6E8450"/>
          <w:sz w:val="18"/>
        </w:rPr>
        <w:t>Healthcare · Biotechnology · NASDAQ · United States</w:t>
      </w:r>
    </w:p>
    <w:p>
      <w:pPr>
        <w:spacing w:after="80"/>
      </w:pPr>
      <w:r>
        <w:rPr>
          <w:rFonts w:ascii="Calibri" w:hAnsi="Calibri"/>
          <w:b w:val="0"/>
          <w:color w:val="3A4A28"/>
          <w:sz w:val="20"/>
        </w:rPr>
        <w:t>Scholar Rock is a late-stage biopharmaceutical company focused on advancing treatments for spinal muscular atrophy (SMA) and other rare neuromuscular diseases. The company's proprietary platform exploits structural differences in precursor forms of protein growth factors to develop selective monoclonal antibody therapeutics. Lead candidate apitegromab (anti-myostatin) is undergoing FDA resubmission with a potential 2026 approval for SMA. The pipeline includes SRK-439 (Phase 1, neuromuscular), SRK-181 (Phase 2-ready, oncology), SRK-373 (preclinical, fibrosis), and SRK-256 (preclinical, anemias). Founded in 2012 and headquartered in Cambridge, Massachusetts, with a market cap of approximately $5.9B and zero commercial revenue.</w:t>
      </w:r>
    </w:p>
    <w:p>
      <w:r>
        <w:rPr>
          <w:rFonts w:ascii="Calibri" w:hAnsi="Calibri"/>
          <w:b/>
          <w:color w:val="6E8450"/>
          <w:sz w:val="18"/>
        </w:rPr>
        <w:t>289 Employees · https://www.scholarrock.com</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EXCELLENCE EVALUATION — THINK LIKE AN OWNER (50%)</w:t>
            </w:r>
          </w:p>
        </w:tc>
      </w:tr>
    </w:tbl>
    <w:p>
      <w:pPr>
        <w:spacing w:before="200" w:after="40"/>
      </w:pPr>
      <w:r>
        <w:rPr>
          <w:rFonts w:ascii="Calibri" w:hAnsi="Calibri"/>
          <w:b/>
          <w:color w:val="1A2010"/>
          <w:sz w:val="22"/>
        </w:rPr>
        <w:t>Innovation</w:t>
      </w:r>
      <w:r>
        <w:rPr>
          <w:rFonts w:ascii="Calibri" w:hAnsi="Calibri"/>
          <w:b w:val="0"/>
          <w:color w:val="1A2010"/>
          <w:sz w:val="22"/>
        </w:rPr>
        <w:t xml:space="preserve">  </w:t>
      </w:r>
      <w:r>
        <w:rPr>
          <w:rFonts w:ascii="Calibri" w:hAnsi="Calibri"/>
          <w:b/>
          <w:color w:val="B8860B"/>
          <w:sz w:val="16"/>
        </w:rPr>
        <w:t xml:space="preserve"> DEVELOPING </w:t>
      </w:r>
    </w:p>
    <w:p>
      <w:pPr>
        <w:spacing w:before="0" w:after="40"/>
      </w:pPr>
      <w:r>
        <w:rPr>
          <w:rFonts w:ascii="Calibri" w:hAnsi="Calibri"/>
          <w:b/>
          <w:color w:val="B8860B"/>
          <w:sz w:val="28"/>
        </w:rPr>
        <w:t>5</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2756"/>
            <w:shd w:fill="B8860B" w:val="clear"/>
          </w:tcPr>
          <w:p>
            <w:pPr>
              <w:spacing w:before="0" w:after="0"/>
            </w:pPr>
            <w:r>
              <w:rPr>
                <w:rFonts w:ascii="Calibri" w:hAnsi="Calibri"/>
                <w:b w:val="0"/>
                <w:color w:val="1A2010"/>
                <w:sz w:val="4"/>
              </w:rPr>
            </w:r>
          </w:p>
        </w:tc>
        <w:tc>
          <w:tcPr>
            <w:tcW w:type="dxa" w:w="2756"/>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Track Record (2/3): Scholar Rock has built a proprietary antibody platform targeting latent growth factors — a novel scientific approach that differentiates from standard antibody discovery. From founding in 2012, the company has advanced apitegromab through Phase 2/3 clinical trials for SMA and is approaching potential FDA approval in 2026, a significant milestone for a 14-year-old biotech [1]. The expansion from a single-target company into multiple therapeutic areas (neuromuscular, oncology, fibrosis, anemias) demonstrates successful platform leveraging. AI Deployment (0/2): No evidence of AI deployment in drug discovery, clinical development, or operations was identified. Market Share (0/2): Scholar Rock is pre-commercial with zero revenue and no market share. The SMA treatment landscape includes established competitors Biogen (Spinraza, ~$1.7B peak sales) and Novartis (Zolgensma) [1]. Product Pipeline (2/2): Specific next-generation products with regulatory timelines: apitegromab FDA resubmission expected 2026 with European launch also anticipated in 2026; SRK-439 in Phase 1 for neuromuscular diseases; SRK-181 Phase 2-ready for solid tumors; SRK-373 and SRK-256 in preclinical development [1][3]. Clear visibility into multi-year pipeline progression. R&amp;D Intensity (1/1): As a clinical-stage biotech with $0 revenue, effectively 100% of spend is R&amp;D, well above any industry benchmark.</w:t>
      </w:r>
    </w:p>
    <w:p>
      <w:pPr>
        <w:spacing w:before="200" w:after="40"/>
      </w:pPr>
      <w:r>
        <w:rPr>
          <w:rFonts w:ascii="Calibri" w:hAnsi="Calibri"/>
          <w:b/>
          <w:color w:val="1A2010"/>
          <w:sz w:val="22"/>
        </w:rPr>
        <w:t>Inspiration</w:t>
      </w:r>
      <w:r>
        <w:rPr>
          <w:rFonts w:ascii="Calibri" w:hAnsi="Calibri"/>
          <w:b w:val="0"/>
          <w:color w:val="1A2010"/>
          <w:sz w:val="22"/>
        </w:rPr>
        <w:t xml:space="preserve">  </w:t>
      </w:r>
      <w:r>
        <w:rPr>
          <w:rFonts w:ascii="Calibri" w:hAnsi="Calibri"/>
          <w:b/>
          <w:color w:val="DC2626"/>
          <w:sz w:val="16"/>
        </w:rPr>
        <w:t xml:space="preserve"> WEAK </w:t>
      </w:r>
    </w:p>
    <w:p>
      <w:pPr>
        <w:spacing w:before="0" w:after="40"/>
      </w:pPr>
      <w:r>
        <w:rPr>
          <w:rFonts w:ascii="Calibri" w:hAnsi="Calibri"/>
          <w:b/>
          <w:color w:val="DC2626"/>
          <w:sz w:val="28"/>
        </w:rPr>
        <w:t>3</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1654"/>
            <w:shd w:fill="DC2626" w:val="clear"/>
          </w:tcPr>
          <w:p>
            <w:pPr>
              <w:spacing w:before="0" w:after="0"/>
            </w:pPr>
            <w:r>
              <w:rPr>
                <w:rFonts w:ascii="Calibri" w:hAnsi="Calibri"/>
                <w:b w:val="0"/>
                <w:color w:val="1A2010"/>
                <w:sz w:val="4"/>
              </w:rPr>
            </w:r>
          </w:p>
        </w:tc>
        <w:tc>
          <w:tcPr>
            <w:tcW w:type="dxa" w:w="3858"/>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Mission Floor (3/4): Scholar Rock's mission focuses on 'improving the lives of children and adults with spinal muscular atrophy and other rare, severe, and debilitating neuromuscular diseases' [3]. This is specific, thoughtful, and reflects genuine intentionality — it names the patients they serve, connects to a larger purpose of alleviating suffering from devastating rare diseases, and differentiates from generic biotech mission statements. The science-first culture and patient-centric approach are evident in leadership communications. However, the company has not yet validated this mission through decades of commercial execution. Community Impact (0/2): No evidence of significant charitable programs, foundation, or community investment was found. Employee Retention (0/2): Scholar Rock employs 289 people and cultivates a 'science-driven, innovative, and collaborative environment,' but no specific retention, turnover, or tenure data is available [3]. The CEO change in April 2025 (David Hallal replacing Tony Kingsley) introduces some leadership instability. Insider Buying (0/2): No evidence of meaningful net insider buying was found.</w:t>
      </w:r>
    </w:p>
    <w:p>
      <w:pPr>
        <w:spacing w:before="200" w:after="40"/>
      </w:pPr>
      <w:r>
        <w:rPr>
          <w:rFonts w:ascii="Calibri" w:hAnsi="Calibri"/>
          <w:b/>
          <w:color w:val="1A2010"/>
          <w:sz w:val="22"/>
        </w:rPr>
        <w:t>Infrastructure</w:t>
      </w:r>
      <w:r>
        <w:rPr>
          <w:rFonts w:ascii="Calibri" w:hAnsi="Calibri"/>
          <w:b w:val="0"/>
          <w:color w:val="1A2010"/>
          <w:sz w:val="22"/>
        </w:rPr>
        <w:t xml:space="preserve">  </w:t>
      </w:r>
      <w:r>
        <w:rPr>
          <w:rFonts w:ascii="Calibri" w:hAnsi="Calibri"/>
          <w:b/>
          <w:color w:val="DC2626"/>
          <w:sz w:val="16"/>
        </w:rPr>
        <w:t xml:space="preserve"> WEAK </w:t>
      </w:r>
    </w:p>
    <w:p>
      <w:pPr>
        <w:spacing w:before="0" w:after="40"/>
      </w:pPr>
      <w:r>
        <w:rPr>
          <w:rFonts w:ascii="Calibri" w:hAnsi="Calibri"/>
          <w:b/>
          <w:color w:val="DC2626"/>
          <w:sz w:val="28"/>
        </w:rPr>
        <w:t>2</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1102"/>
            <w:shd w:fill="DC2626" w:val="clear"/>
          </w:tcPr>
          <w:p>
            <w:pPr>
              <w:spacing w:before="0" w:after="0"/>
            </w:pPr>
            <w:r>
              <w:rPr>
                <w:rFonts w:ascii="Calibri" w:hAnsi="Calibri"/>
                <w:b w:val="0"/>
                <w:color w:val="1A2010"/>
                <w:sz w:val="4"/>
              </w:rPr>
            </w:r>
          </w:p>
        </w:tc>
        <w:tc>
          <w:tcPr>
            <w:tcW w:type="dxa" w:w="4409"/>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Mechanically scored on Growth stock metrics with severe penalties for pre-revenue status. D/E of 80.3% is above the 70% target but well below the 300% floor (score 0.96) [4]. ROE of -167.8% is deeply negative (score 0, 2x weight). Revenue growth YoY and 5-year CAGR are both null — the company generates zero revenue — and are excluded from calculation [1]. Forward P/E of -19.1 (negative, reflecting losses) is scored 0. Profit margin of 0% (no revenue to generate margin) is scored 0 [4]. Forward PEG is unavailable for a pre-revenue company and excluded. Of the available metrics, only D/E scores favorably, yielding an infrastructure score anchored by the cash position of $369.6M (Q3 2025) which funds operations through commercialization [2]. Liquidity floor is well cleared at ~$71.1M daily trading value.</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FINITE VS INFINITE GAME — SINEK (25%)</w:t>
            </w:r>
          </w:p>
        </w:tc>
      </w:tr>
    </w:tbl>
    <w:p>
      <w:pPr>
        <w:spacing w:after="40"/>
      </w:pPr>
      <w:r>
        <w:rPr>
          <w:rFonts w:ascii="Calibri" w:hAnsi="Calibri"/>
          <w:b w:val="0"/>
          <w:color w:val="6E8450"/>
          <w:sz w:val="22"/>
        </w:rPr>
        <w:t xml:space="preserve">Mindset: </w:t>
      </w:r>
      <w:r>
        <w:rPr>
          <w:rFonts w:ascii="Calibri" w:hAnsi="Calibri"/>
          <w:b/>
          <w:color w:val="B8860B"/>
          <w:sz w:val="22"/>
        </w:rPr>
        <w:t>MIXED</w:t>
      </w:r>
      <w:r>
        <w:rPr>
          <w:rFonts w:ascii="Calibri" w:hAnsi="Calibri"/>
          <w:b w:val="0"/>
          <w:color w:val="6E8450"/>
          <w:sz w:val="22"/>
        </w:rPr>
        <w:t xml:space="preserve">      Overall: </w:t>
      </w:r>
      <w:r>
        <w:rPr>
          <w:rFonts w:ascii="Calibri" w:hAnsi="Calibri"/>
          <w:b/>
          <w:color w:val="B8860B"/>
          <w:sz w:val="28"/>
        </w:rPr>
        <w:t>5</w:t>
      </w:r>
      <w:r>
        <w:rPr>
          <w:rFonts w:ascii="Calibri" w:hAnsi="Calibri"/>
          <w:b w:val="0"/>
          <w:color w:val="9DAF88"/>
          <w:sz w:val="18"/>
        </w:rPr>
        <w:t xml:space="preserve"> /10</w:t>
      </w:r>
    </w:p>
    <w:p>
      <w:pPr>
        <w:spacing w:after="120"/>
      </w:pPr>
      <w:r>
        <w:rPr>
          <w:rFonts w:ascii="Calibri" w:hAnsi="Calibri"/>
          <w:b w:val="0"/>
          <w:color w:val="3A4A28"/>
          <w:sz w:val="18"/>
        </w:rPr>
        <w:t>Scholar Rock demonstrates genuine purpose orientation — the mission of improving lives for children and adults with devastating neuromuscular diseases is specific, patient-centered, and drives strategic decisions. The 14-year journey from founding to near-commercialization of apitegromab shows persistence through uncertainty. However, the 2025 CEO transition (David Hallal replacing Tony Kingsley) introduces leadership continuity questions, the company hasn't yet been tested through the commercial execution phase, and the organizational depth at 289 employees limits the evidence base for trust and flexibility assessments.</w:t>
      </w:r>
    </w:p>
    <w:p>
      <w:pPr>
        <w:spacing w:before="200" w:after="40"/>
      </w:pPr>
      <w:r>
        <w:rPr>
          <w:rFonts w:ascii="Calibri" w:hAnsi="Calibri"/>
          <w:b/>
          <w:color w:val="1A2010"/>
          <w:sz w:val="22"/>
        </w:rPr>
        <w:t>Just Cause</w:t>
      </w:r>
    </w:p>
    <w:p>
      <w:pPr>
        <w:spacing w:before="0" w:after="40"/>
      </w:pPr>
      <w:r>
        <w:rPr>
          <w:rFonts w:ascii="Calibri" w:hAnsi="Calibri"/>
          <w:b/>
          <w:color w:val="16A34A"/>
          <w:sz w:val="28"/>
        </w:rPr>
        <w:t>7</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858"/>
            <w:shd w:fill="16A34A" w:val="clear"/>
          </w:tcPr>
          <w:p>
            <w:pPr>
              <w:spacing w:before="0" w:after="0"/>
            </w:pPr>
            <w:r>
              <w:rPr>
                <w:rFonts w:ascii="Calibri" w:hAnsi="Calibri"/>
                <w:b w:val="0"/>
                <w:color w:val="1A2010"/>
                <w:sz w:val="4"/>
              </w:rPr>
            </w:r>
          </w:p>
        </w:tc>
        <w:tc>
          <w:tcPr>
            <w:tcW w:type="dxa" w:w="1654"/>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Just Cause (2/3): Scholar Rock's purpose of improving lives of patients with SMA and rare neuromuscular diseases is genuine, specific, and partially lived [3]. The cause is service-oriented (benefiting patients with devastating diseases), inclusive (inviting clinicians, patients, and researchers to contribute), and idealistic (envisioning a future where these conditions are treatable). The company's 14-year commitment to a scientifically risky approach (targeting latent growth factors) when easier drug development paths existed demonstrates that the cause shapes behavior. However, the purpose hasn't been validated through decades of commercial execution or tested through the pressures of commercial launch, pricing decisions, and profitability demands.</w:t>
      </w:r>
    </w:p>
    <w:p>
      <w:pPr>
        <w:spacing w:before="200" w:after="40"/>
      </w:pPr>
      <w:r>
        <w:rPr>
          <w:rFonts w:ascii="Calibri" w:hAnsi="Calibri"/>
          <w:b/>
          <w:color w:val="1A2010"/>
          <w:sz w:val="22"/>
        </w:rPr>
        <w:t>Trusting Teams</w:t>
      </w:r>
    </w:p>
    <w:p>
      <w:pPr>
        <w:spacing w:before="0" w:after="40"/>
      </w:pPr>
      <w:r>
        <w:rPr>
          <w:rFonts w:ascii="Calibri" w:hAnsi="Calibri"/>
          <w:b/>
          <w:color w:val="B8860B"/>
          <w:sz w:val="28"/>
        </w:rPr>
        <w:t>6</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307"/>
            <w:shd w:fill="B8860B" w:val="clear"/>
          </w:tcPr>
          <w:p>
            <w:pPr>
              <w:spacing w:before="0" w:after="0"/>
            </w:pPr>
            <w:r>
              <w:rPr>
                <w:rFonts w:ascii="Calibri" w:hAnsi="Calibri"/>
                <w:b w:val="0"/>
                <w:color w:val="1A2010"/>
                <w:sz w:val="4"/>
              </w:rPr>
            </w:r>
          </w:p>
        </w:tc>
        <w:tc>
          <w:tcPr>
            <w:tcW w:type="dxa" w:w="2205"/>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Trusting Teams (1/2): Scholar Rock's 'science-driven, innovative, and collaborative environment' with emphasis on teamwork and patient-centricity suggests adequate organizational trust [3]. However, the CEO change in April 2025 (David Hallal replacing Tony Kingsley) followed by addition of new CMO, CCO, and General Counsel represents significant leadership turnover that can disrupt trust dynamics. The 289-employee organization appears stable but no specific retention data, tenure information, or employee satisfaction metrics are available to confirm trust levels beyond leadership's stated cultural aspirations.</w:t>
      </w:r>
    </w:p>
    <w:p>
      <w:pPr>
        <w:spacing w:before="200" w:after="40"/>
      </w:pPr>
      <w:r>
        <w:rPr>
          <w:rFonts w:ascii="Calibri" w:hAnsi="Calibri"/>
          <w:b/>
          <w:color w:val="1A2010"/>
          <w:sz w:val="22"/>
        </w:rPr>
        <w:t>Worthy Rivals</w:t>
      </w:r>
    </w:p>
    <w:p>
      <w:pPr>
        <w:spacing w:before="0" w:after="40"/>
      </w:pPr>
      <w:r>
        <w:rPr>
          <w:rFonts w:ascii="Calibri" w:hAnsi="Calibri"/>
          <w:b/>
          <w:color w:val="DC2626"/>
          <w:sz w:val="28"/>
        </w:rPr>
        <w:t>3</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1654"/>
            <w:shd w:fill="DC2626" w:val="clear"/>
          </w:tcPr>
          <w:p>
            <w:pPr>
              <w:spacing w:before="0" w:after="0"/>
            </w:pPr>
            <w:r>
              <w:rPr>
                <w:rFonts w:ascii="Calibri" w:hAnsi="Calibri"/>
                <w:b w:val="0"/>
                <w:color w:val="1A2010"/>
                <w:sz w:val="4"/>
              </w:rPr>
            </w:r>
          </w:p>
        </w:tc>
        <w:tc>
          <w:tcPr>
            <w:tcW w:type="dxa" w:w="3858"/>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Worthy Rivals (0/1): No evidence of how Scholar Rock frames competition with Biogen (Spinraza) or Novartis (Zolgensma) was identified. Apitegromab is positioned as complementary to existing SMA therapies rather than directly competitive, but no management commentary on learning from competitors' strengths or using competitive pressure for self-improvement was found.</w:t>
      </w:r>
    </w:p>
    <w:p>
      <w:pPr>
        <w:spacing w:before="200" w:after="40"/>
      </w:pPr>
      <w:r>
        <w:rPr>
          <w:rFonts w:ascii="Calibri" w:hAnsi="Calibri"/>
          <w:b/>
          <w:color w:val="1A2010"/>
          <w:sz w:val="22"/>
        </w:rPr>
        <w:t>Existential Flexibility</w:t>
      </w:r>
    </w:p>
    <w:p>
      <w:pPr>
        <w:spacing w:before="0" w:after="40"/>
      </w:pPr>
      <w:r>
        <w:rPr>
          <w:rFonts w:ascii="Calibri" w:hAnsi="Calibri"/>
          <w:b/>
          <w:color w:val="B8860B"/>
          <w:sz w:val="28"/>
        </w:rPr>
        <w:t>6</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307"/>
            <w:shd w:fill="B8860B" w:val="clear"/>
          </w:tcPr>
          <w:p>
            <w:pPr>
              <w:spacing w:before="0" w:after="0"/>
            </w:pPr>
            <w:r>
              <w:rPr>
                <w:rFonts w:ascii="Calibri" w:hAnsi="Calibri"/>
                <w:b w:val="0"/>
                <w:color w:val="1A2010"/>
                <w:sz w:val="4"/>
              </w:rPr>
            </w:r>
          </w:p>
        </w:tc>
        <w:tc>
          <w:tcPr>
            <w:tcW w:type="dxa" w:w="2205"/>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Existential Flexibility (1/2): Scholar Rock has expanded from a single-target company focused on myostatin inhibition for SMA into a multi-program biotech spanning neuromuscular diseases, oncology (SRK-181), fibrosis (SRK-373), and anemias (SRK-256), leveraging its latent growth factor platform across therapeutic areas [3]. This expansion demonstrates strategic flexibility and platform thinking. However, these are incremental extensions of the core scientific platform rather than a transformative business model reinvention in the Sinek sense.</w:t>
      </w:r>
    </w:p>
    <w:p>
      <w:pPr>
        <w:spacing w:before="200" w:after="40"/>
      </w:pPr>
      <w:r>
        <w:rPr>
          <w:rFonts w:ascii="Calibri" w:hAnsi="Calibri"/>
          <w:b/>
          <w:color w:val="1A2010"/>
          <w:sz w:val="22"/>
        </w:rPr>
        <w:t>Courage To Lead</w:t>
      </w:r>
    </w:p>
    <w:p>
      <w:pPr>
        <w:spacing w:before="0" w:after="40"/>
      </w:pPr>
      <w:r>
        <w:rPr>
          <w:rFonts w:ascii="Calibri" w:hAnsi="Calibri"/>
          <w:b/>
          <w:color w:val="B8860B"/>
          <w:sz w:val="28"/>
        </w:rPr>
        <w:t>6</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307"/>
            <w:shd w:fill="B8860B" w:val="clear"/>
          </w:tcPr>
          <w:p>
            <w:pPr>
              <w:spacing w:before="0" w:after="0"/>
            </w:pPr>
            <w:r>
              <w:rPr>
                <w:rFonts w:ascii="Calibri" w:hAnsi="Calibri"/>
                <w:b w:val="0"/>
                <w:color w:val="1A2010"/>
                <w:sz w:val="4"/>
              </w:rPr>
            </w:r>
          </w:p>
        </w:tc>
        <w:tc>
          <w:tcPr>
            <w:tcW w:type="dxa" w:w="2205"/>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Courage to Lead (1/2): Scholar Rock has persisted through 14 years of pre-revenue drug development, including FDA setbacks requiring resubmission of apitegromab, while maintaining investment in multiple pipeline programs [1][2]. The decision to pursue a novel scientific approach (targeting latent growth factors) when established antibody development approaches were available demonstrates willingness to bet on differentiated science. However, the CEO transition in 2025 raises questions about leadership continuity, and no evidence of particularly costly decisions that sacrificed near-term results for long-term capability was found beyond the inherent risk of drug development.</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INVESTMENT THESIS</w:t>
            </w:r>
          </w:p>
        </w:tc>
      </w:tr>
    </w:tbl>
    <w:p>
      <w:pPr>
        <w:spacing w:after="120"/>
      </w:pPr>
      <w:r>
        <w:rPr>
          <w:rFonts w:ascii="Calibri" w:hAnsi="Calibri"/>
          <w:b w:val="0"/>
          <w:color w:val="3A4A28"/>
          <w:sz w:val="20"/>
        </w:rPr>
        <w:t>Scholar Rock is a high-conviction late-stage biotech play on apitegromab, a potential first-in-class myostatin inhibitor for SMA with FDA resubmission expected in 2026 and European launch also anticipated [1]. The $5.9B market cap reflects significant market confidence in the drug's commercial potential — the SMA treatment market (Biogen's Spinraza generated ~$1.7B in peak sales) validates a large addressable opportunity. Scholar Rock ended Q3 2025 with $369.6M in cash, providing runway through commercialization [2]. The proprietary latent growth factor platform enables pipeline optionality across neuromuscular diseases, oncology, fibrosis, and anemias. Innovation scores 5/10 driven by the strong product pipeline with specific regulatory timelines, and AI Resilience of 8/10 reflects the structural immunity of drug development to AI disruption.</w:t>
      </w:r>
    </w:p>
    <w:p>
      <w:pPr>
        <w:spacing w:after="120"/>
      </w:pPr>
      <w:r>
        <w:rPr>
          <w:rFonts w:ascii="Calibri" w:hAnsi="Calibri"/>
          <w:b w:val="0"/>
          <w:color w:val="3A4A28"/>
          <w:sz w:val="20"/>
        </w:rPr>
        <w:t>The bear case is the binary risk inherent in pre-commercial biotech. Scholar Rock generates zero revenue, burns approximately $153.9M annually in free cash flow, and trades at -19.1x forward P/E with an Infrastructure score of only 2/10 [4]. The apitegromab FDA resubmission carries regulatory risk — the initial submission required additional work, and there is no guarantee of approval. Even with approval, commercial execution risk is high: the CEO changed in April 2025 (David Hallal replacing Tony Kingsley), new CMO and CCO were recently appointed, and the 289-person organization has never launched a product [3]. Competing SMA therapies from Biogen and Novartis have established prescriber relationships. The D/E ratio of 80.3% and negative ROE of -167.8% reflect the pre-revenue financial profile. The $5.9B market cap prices in substantial commercial success — any pipeline setback, regulatory delay, or competitive challenge could trigger significant downside from the $48.63 share price.</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KEY CATALYSTS</w:t>
            </w:r>
          </w:p>
        </w:tc>
      </w:tr>
    </w:tbl>
    <w:p>
      <w:pPr>
        <w:spacing w:before="40" w:after="40"/>
        <w:ind w:left="283"/>
      </w:pPr>
      <w:r>
        <w:rPr>
          <w:rFonts w:ascii="Calibri" w:hAnsi="Calibri"/>
          <w:b/>
          <w:color w:val="4A6B25"/>
          <w:sz w:val="20"/>
        </w:rPr>
        <w:t xml:space="preserve">1. </w:t>
      </w:r>
      <w:r>
        <w:rPr>
          <w:rFonts w:ascii="Calibri" w:hAnsi="Calibri"/>
          <w:b w:val="0"/>
          <w:color w:val="3A4A28"/>
          <w:sz w:val="20"/>
        </w:rPr>
        <w:t>Apitegromab FDA resubmission and potential approval in 2026, which would transform Scholar Rock from a pre-revenue development-stage company into a commercial biotech with a first-in-class SMA therapy [1]</w:t>
      </w:r>
    </w:p>
    <w:p>
      <w:pPr>
        <w:spacing w:before="40" w:after="40"/>
        <w:ind w:left="283"/>
      </w:pPr>
      <w:r>
        <w:rPr>
          <w:rFonts w:ascii="Calibri" w:hAnsi="Calibri"/>
          <w:b/>
          <w:color w:val="4A6B25"/>
          <w:sz w:val="20"/>
        </w:rPr>
        <w:t xml:space="preserve">2. </w:t>
      </w:r>
      <w:r>
        <w:rPr>
          <w:rFonts w:ascii="Calibri" w:hAnsi="Calibri"/>
          <w:b w:val="0"/>
          <w:color w:val="3A4A28"/>
          <w:sz w:val="20"/>
        </w:rPr>
        <w:t>European regulatory approval and launch of apitegromab anticipated in 2026, opening a second major market for the company's lead product and diversifying revenue geography [1]</w:t>
      </w:r>
    </w:p>
    <w:p>
      <w:pPr>
        <w:spacing w:before="40" w:after="40"/>
        <w:ind w:left="283"/>
      </w:pPr>
      <w:r>
        <w:rPr>
          <w:rFonts w:ascii="Calibri" w:hAnsi="Calibri"/>
          <w:b/>
          <w:color w:val="4A6B25"/>
          <w:sz w:val="20"/>
        </w:rPr>
        <w:t xml:space="preserve">3. </w:t>
      </w:r>
      <w:r>
        <w:rPr>
          <w:rFonts w:ascii="Calibri" w:hAnsi="Calibri"/>
          <w:b w:val="0"/>
          <w:color w:val="3A4A28"/>
          <w:sz w:val="20"/>
        </w:rPr>
        <w:t>Pipeline advancement of SRK-439 (Phase 1, neuromuscular) and SRK-181 (Phase 2-ready, oncology) providing platform validation and multi-program value beyond the apitegromab binary event [3]</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DC2626"/>
            </w:tcBorders>
          </w:tcPr>
          <w:p>
            <w:pPr>
              <w:spacing w:before="240" w:after="80"/>
            </w:pPr>
            <w:r>
              <w:rPr>
                <w:rFonts w:ascii="Calibri" w:hAnsi="Calibri"/>
                <w:b/>
                <w:color w:val="6E8450"/>
                <w:sz w:val="17"/>
              </w:rPr>
              <w:t>KEY RISKS</w:t>
            </w:r>
          </w:p>
        </w:tc>
      </w:tr>
    </w:tbl>
    <w:p>
      <w:pPr>
        <w:spacing w:before="40" w:after="40"/>
        <w:ind w:left="283"/>
      </w:pPr>
      <w:r>
        <w:rPr>
          <w:rFonts w:ascii="Calibri" w:hAnsi="Calibri"/>
          <w:b/>
          <w:color w:val="4A6B25"/>
          <w:sz w:val="20"/>
        </w:rPr>
        <w:t xml:space="preserve">1. </w:t>
      </w:r>
      <w:r>
        <w:rPr>
          <w:rFonts w:ascii="Calibri" w:hAnsi="Calibri"/>
          <w:b w:val="0"/>
          <w:color w:val="3A4A28"/>
          <w:sz w:val="20"/>
        </w:rPr>
        <w:t>Binary FDA regulatory risk — apitegromab resubmission could face additional delays, require more data, or ultimately not receive approval, which would devastate the $5.9B market cap built on commercialization expectations [1]</w:t>
      </w:r>
    </w:p>
    <w:p>
      <w:pPr>
        <w:spacing w:before="40" w:after="40"/>
        <w:ind w:left="283"/>
      </w:pPr>
      <w:r>
        <w:rPr>
          <w:rFonts w:ascii="Calibri" w:hAnsi="Calibri"/>
          <w:b/>
          <w:color w:val="4A6B25"/>
          <w:sz w:val="20"/>
        </w:rPr>
        <w:t xml:space="preserve">2. </w:t>
      </w:r>
      <w:r>
        <w:rPr>
          <w:rFonts w:ascii="Calibri" w:hAnsi="Calibri"/>
          <w:b w:val="0"/>
          <w:color w:val="3A4A28"/>
          <w:sz w:val="20"/>
        </w:rPr>
        <w:t>Commercial execution risk with a newly assembled leadership team (CEO April 2025, new CMO and CCO) that has never launched a product, competing against established Biogen (Spinraza) and Novartis (Zolgensma) sales forces [3]</w:t>
      </w:r>
    </w:p>
    <w:p>
      <w:pPr>
        <w:spacing w:before="40" w:after="40"/>
        <w:ind w:left="283"/>
      </w:pPr>
      <w:r>
        <w:rPr>
          <w:rFonts w:ascii="Calibri" w:hAnsi="Calibri"/>
          <w:b/>
          <w:color w:val="4A6B25"/>
          <w:sz w:val="20"/>
        </w:rPr>
        <w:t xml:space="preserve">3. </w:t>
      </w:r>
      <w:r>
        <w:rPr>
          <w:rFonts w:ascii="Calibri" w:hAnsi="Calibri"/>
          <w:b w:val="0"/>
          <w:color w:val="3A4A28"/>
          <w:sz w:val="20"/>
        </w:rPr>
        <w:t>Pre-revenue cash burn of ~$153.9M annually against $369.6M in cash (Q3 2025) provides approximately 2.5 years of runway, and any commercialization delays could force dilutive capital raises [2][4]</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AI RESILIENCE (25%)</w:t>
            </w:r>
          </w:p>
        </w:tc>
      </w:tr>
    </w:tbl>
    <w:p>
      <w:pPr>
        <w:spacing w:before="200" w:after="40"/>
      </w:pPr>
      <w:r>
        <w:rPr>
          <w:rFonts w:ascii="Calibri" w:hAnsi="Calibri"/>
          <w:b/>
          <w:color w:val="1A2010"/>
          <w:sz w:val="22"/>
        </w:rPr>
        <w:t>AI Resilience</w:t>
      </w:r>
      <w:r>
        <w:rPr>
          <w:rFonts w:ascii="Calibri" w:hAnsi="Calibri"/>
          <w:b w:val="0"/>
          <w:color w:val="1A2010"/>
          <w:sz w:val="22"/>
        </w:rPr>
        <w:t xml:space="preserve">  </w:t>
      </w:r>
      <w:r>
        <w:rPr>
          <w:rFonts w:ascii="Calibri" w:hAnsi="Calibri"/>
          <w:b/>
          <w:color w:val="16A34A"/>
          <w:sz w:val="16"/>
        </w:rPr>
        <w:t xml:space="preserve"> LOW RISK </w:t>
      </w:r>
    </w:p>
    <w:p>
      <w:pPr>
        <w:spacing w:before="0" w:after="40"/>
      </w:pPr>
      <w:r>
        <w:rPr>
          <w:rFonts w:ascii="Calibri" w:hAnsi="Calibri"/>
          <w:b/>
          <w:color w:val="16A34A"/>
          <w:sz w:val="28"/>
        </w:rPr>
        <w:t>8</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4409"/>
            <w:shd w:fill="16A34A" w:val="clear"/>
          </w:tcPr>
          <w:p>
            <w:pPr>
              <w:spacing w:before="0" w:after="0"/>
            </w:pPr>
            <w:r>
              <w:rPr>
                <w:rFonts w:ascii="Calibri" w:hAnsi="Calibri"/>
                <w:b w:val="0"/>
                <w:color w:val="1A2010"/>
                <w:sz w:val="4"/>
              </w:rPr>
            </w:r>
          </w:p>
        </w:tc>
        <w:tc>
          <w:tcPr>
            <w:tcW w:type="dxa" w:w="1102"/>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AI Risk Protection (8/9): Scholar Rock's core business — developing biological drug therapies through clinical trials and FDA regulatory processes — is structurally immune to AI disruption [3]. Drug development requires physical molecules (monoclonal antibodies), animal studies, human clinical trials, and regulatory approval processes that AI cannot replace. The company's proprietary platform targeting latent growth factors is protected by intellectual property. AI may accelerate competing drug discovery timelines but cannot substitute for the physical and regulatory requirements of bringing a therapy to market. Once approved, apitegromab would be protected by patents and regulatory exclusivity. The SMA treatment space requires specialized biological products that AI cannot replicate. AI Opportunity (0/1): Scholar Rock does not generate AI-related revenue and has no AI products. The company has not disclosed use of AI in its drug discovery or development processes.</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FAITH ALIGNMENT — INSPIRE INSIGHT</w:t>
            </w:r>
          </w:p>
        </w:tc>
      </w:tr>
    </w:tbl>
    <w:p>
      <w:pPr>
        <w:spacing w:after="40"/>
      </w:pPr>
      <w:r>
        <w:rPr>
          <w:rFonts w:ascii="Calibri" w:hAnsi="Calibri"/>
          <w:b w:val="0"/>
          <w:color w:val="6E8450"/>
          <w:sz w:val="22"/>
        </w:rPr>
        <w:t xml:space="preserve">Inspire Impact Score:  </w:t>
      </w:r>
      <w:r>
        <w:rPr>
          <w:rFonts w:ascii="Calibri" w:hAnsi="Calibri"/>
          <w:b/>
          <w:color w:val="16A34A"/>
          <w:sz w:val="28"/>
        </w:rPr>
        <w:t>38</w:t>
      </w:r>
      <w:r>
        <w:rPr>
          <w:rFonts w:ascii="Calibri" w:hAnsi="Calibri"/>
          <w:b/>
          <w:color w:val="B8860B"/>
          <w:sz w:val="20"/>
        </w:rPr>
        <w:t xml:space="preserve">    ALIGNED</w:t>
      </w:r>
    </w:p>
    <w:p>
      <w:pPr>
        <w:spacing w:before="80" w:after="40"/>
      </w:pPr>
      <w:r>
        <w:rPr>
          <w:rFonts w:ascii="Calibri" w:hAnsi="Calibri"/>
          <w:b/>
          <w:color w:val="6E8450"/>
          <w:sz w:val="18"/>
        </w:rPr>
        <w:t xml:space="preserve">Positive: </w:t>
      </w:r>
      <w:r>
        <w:rPr>
          <w:rFonts w:ascii="Calibri" w:hAnsi="Calibri"/>
          <w:b/>
          <w:color w:val="16A34A"/>
          <w:sz w:val="17"/>
        </w:rPr>
        <w:t xml:space="preserve"> Critical Risk Management </w:t>
      </w:r>
      <w:r>
        <w:rPr>
          <w:rFonts w:ascii="Calibri" w:hAnsi="Calibri"/>
          <w:b w:val="0"/>
          <w:color w:val="9DAF88"/>
          <w:sz w:val="17"/>
        </w:rPr>
        <w:t xml:space="preserve">  ·  </w:t>
      </w:r>
      <w:r>
        <w:rPr>
          <w:rFonts w:ascii="Calibri" w:hAnsi="Calibri"/>
          <w:b/>
          <w:color w:val="16A34A"/>
          <w:sz w:val="17"/>
        </w:rPr>
        <w:t xml:space="preserve"> Customer Welfare </w:t>
      </w:r>
      <w:r>
        <w:rPr>
          <w:rFonts w:ascii="Calibri" w:hAnsi="Calibri"/>
          <w:b w:val="0"/>
          <w:color w:val="9DAF88"/>
          <w:sz w:val="17"/>
        </w:rPr>
        <w:t xml:space="preserve">  ·  </w:t>
      </w:r>
      <w:r>
        <w:rPr>
          <w:rFonts w:ascii="Calibri" w:hAnsi="Calibri"/>
          <w:b/>
          <w:color w:val="16A34A"/>
          <w:sz w:val="17"/>
        </w:rPr>
        <w:t xml:space="preserve"> Data Security </w:t>
      </w:r>
      <w:r>
        <w:rPr>
          <w:rFonts w:ascii="Calibri" w:hAnsi="Calibri"/>
          <w:b w:val="0"/>
          <w:color w:val="9DAF88"/>
          <w:sz w:val="17"/>
        </w:rPr>
        <w:t xml:space="preserve">  ·  </w:t>
      </w:r>
      <w:r>
        <w:rPr>
          <w:rFonts w:ascii="Calibri" w:hAnsi="Calibri"/>
          <w:b/>
          <w:color w:val="16A34A"/>
          <w:sz w:val="17"/>
        </w:rPr>
        <w:t xml:space="preserve"> Ethical Labor Practices </w:t>
      </w:r>
      <w:r>
        <w:rPr>
          <w:rFonts w:ascii="Calibri" w:hAnsi="Calibri"/>
          <w:b w:val="0"/>
          <w:color w:val="9DAF88"/>
          <w:sz w:val="17"/>
        </w:rPr>
        <w:t xml:space="preserve">  ·  </w:t>
      </w:r>
      <w:r>
        <w:rPr>
          <w:rFonts w:ascii="Calibri" w:hAnsi="Calibri"/>
          <w:b/>
          <w:color w:val="16A34A"/>
          <w:sz w:val="17"/>
        </w:rPr>
        <w:t xml:space="preserve"> Ethical Sales Practices </w:t>
      </w:r>
      <w:r>
        <w:rPr>
          <w:rFonts w:ascii="Calibri" w:hAnsi="Calibri"/>
          <w:b w:val="0"/>
          <w:color w:val="9DAF88"/>
          <w:sz w:val="17"/>
        </w:rPr>
        <w:t xml:space="preserve">  ·  </w:t>
      </w:r>
      <w:r>
        <w:rPr>
          <w:rFonts w:ascii="Calibri" w:hAnsi="Calibri"/>
          <w:b/>
          <w:color w:val="16A34A"/>
          <w:sz w:val="17"/>
        </w:rPr>
        <w:t xml:space="preserve"> Fair Competition </w:t>
      </w:r>
      <w:r>
        <w:rPr>
          <w:rFonts w:ascii="Calibri" w:hAnsi="Calibri"/>
          <w:b w:val="0"/>
          <w:color w:val="9DAF88"/>
          <w:sz w:val="17"/>
        </w:rPr>
        <w:t xml:space="preserve">  ·  </w:t>
      </w:r>
      <w:r>
        <w:rPr>
          <w:rFonts w:ascii="Calibri" w:hAnsi="Calibri"/>
          <w:b/>
          <w:color w:val="16A34A"/>
          <w:sz w:val="17"/>
        </w:rPr>
        <w:t xml:space="preserve"> Hiring Ethics </w:t>
      </w:r>
      <w:r>
        <w:rPr>
          <w:rFonts w:ascii="Calibri" w:hAnsi="Calibri"/>
          <w:b w:val="0"/>
          <w:color w:val="9DAF88"/>
          <w:sz w:val="17"/>
        </w:rPr>
        <w:t xml:space="preserve">  ·  </w:t>
      </w:r>
      <w:r>
        <w:rPr>
          <w:rFonts w:ascii="Calibri" w:hAnsi="Calibri"/>
          <w:b/>
          <w:color w:val="16A34A"/>
          <w:sz w:val="17"/>
        </w:rPr>
        <w:t xml:space="preserve"> Product Access and Affordability </w:t>
      </w:r>
      <w:r>
        <w:rPr>
          <w:rFonts w:ascii="Calibri" w:hAnsi="Calibri"/>
          <w:b w:val="0"/>
          <w:color w:val="9DAF88"/>
          <w:sz w:val="17"/>
        </w:rPr>
        <w:t xml:space="preserve">  ·  </w:t>
      </w:r>
      <w:r>
        <w:rPr>
          <w:rFonts w:ascii="Calibri" w:hAnsi="Calibri"/>
          <w:b/>
          <w:color w:val="16A34A"/>
          <w:sz w:val="17"/>
        </w:rPr>
        <w:t xml:space="preserve"> Product Safety </w:t>
      </w:r>
      <w:r>
        <w:rPr>
          <w:rFonts w:ascii="Calibri" w:hAnsi="Calibri"/>
          <w:b w:val="0"/>
          <w:color w:val="9DAF88"/>
          <w:sz w:val="17"/>
        </w:rPr>
        <w:t xml:space="preserve">  ·  </w:t>
      </w:r>
      <w:r>
        <w:rPr>
          <w:rFonts w:ascii="Calibri" w:hAnsi="Calibri"/>
          <w:b/>
          <w:color w:val="16A34A"/>
          <w:sz w:val="17"/>
        </w:rPr>
        <w:t xml:space="preserve"> Regulatory Adherence </w:t>
      </w:r>
    </w:p>
    <w:p>
      <w:pPr>
        <w:spacing w:before="120"/>
      </w:pPr>
      <w:r>
        <w:rPr>
          <w:rFonts w:ascii="Calibri" w:hAnsi="Calibri"/>
          <w:b w:val="0"/>
          <w:color w:val="9DAF88"/>
          <w:sz w:val="15"/>
        </w:rPr>
        <w:t>Source: Inspire Insight</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RESOURCES</w:t>
            </w:r>
          </w:p>
        </w:tc>
      </w:tr>
    </w:tbl>
    <w:p>
      <w:pPr>
        <w:spacing w:before="20" w:after="20"/>
        <w:ind w:left="170"/>
      </w:pPr>
      <w:r>
        <w:rPr>
          <w:rFonts w:ascii="Calibri" w:hAnsi="Calibri"/>
          <w:b/>
          <w:color w:val="4A6B25"/>
          <w:sz w:val="15"/>
        </w:rPr>
        <w:t xml:space="preserve">1. </w:t>
      </w:r>
      <w:r>
        <w:rPr>
          <w:rFonts w:ascii="Calibri" w:hAnsi="Calibri"/>
          <w:b w:val="0"/>
          <w:color w:val="3A4A28"/>
          <w:sz w:val="17"/>
        </w:rPr>
        <w:t>Scholar Rock Q4 &amp; Full Year 2025 Financial Results — $0 Revenue, Apitegromab FDA Resubmission Expected 2026, European Launch Anticipated, investors.scholarrock.com, February 2026</w:t>
      </w:r>
    </w:p>
    <w:p>
      <w:pPr>
        <w:spacing w:before="20" w:after="20"/>
        <w:ind w:left="170"/>
      </w:pPr>
      <w:r>
        <w:rPr>
          <w:rFonts w:ascii="Calibri" w:hAnsi="Calibri"/>
          <w:b/>
          <w:color w:val="4A6B25"/>
          <w:sz w:val="15"/>
        </w:rPr>
        <w:t xml:space="preserve">2. </w:t>
      </w:r>
      <w:r>
        <w:rPr>
          <w:rFonts w:ascii="Calibri" w:hAnsi="Calibri"/>
          <w:b w:val="0"/>
          <w:color w:val="3A4A28"/>
          <w:sz w:val="17"/>
        </w:rPr>
        <w:t>Scholar Rock Q3 2025 Earnings — EPS -$0.90, Cash Position $369.6M, Stock Surge on Mixed Results, Investing.com Transcript, November 2025</w:t>
      </w:r>
    </w:p>
    <w:p>
      <w:pPr>
        <w:spacing w:before="20" w:after="20"/>
        <w:ind w:left="170"/>
      </w:pPr>
      <w:r>
        <w:rPr>
          <w:rFonts w:ascii="Calibri" w:hAnsi="Calibri"/>
          <w:b/>
          <w:color w:val="4A6B25"/>
          <w:sz w:val="15"/>
        </w:rPr>
        <w:t xml:space="preserve">3. </w:t>
      </w:r>
      <w:r>
        <w:rPr>
          <w:rFonts w:ascii="Calibri" w:hAnsi="Calibri"/>
          <w:b w:val="0"/>
          <w:color w:val="3A4A28"/>
          <w:sz w:val="17"/>
        </w:rPr>
        <w:t>Scholar Rock Leadership and Pipeline — CEO David Hallal (April 2025), Proprietary Latent Growth Factor Platform, Pipeline SRK-439/SRK-181/SRK-373/SRK-256, scholarrock.com, 2025-2026</w:t>
      </w:r>
    </w:p>
    <w:p>
      <w:pPr>
        <w:spacing w:before="20" w:after="20"/>
        <w:ind w:left="170"/>
      </w:pPr>
      <w:r>
        <w:rPr>
          <w:rFonts w:ascii="Calibri" w:hAnsi="Calibri"/>
          <w:b/>
          <w:color w:val="4A6B25"/>
          <w:sz w:val="15"/>
        </w:rPr>
        <w:t xml:space="preserve">4. </w:t>
      </w:r>
      <w:r>
        <w:rPr>
          <w:rFonts w:ascii="Calibri" w:hAnsi="Calibri"/>
          <w:b w:val="0"/>
          <w:color w:val="3A4A28"/>
          <w:sz w:val="17"/>
        </w:rPr>
        <w:t>Yahoo Finance — SRRK Key Statistics: D/E 80.3%, ROE -167.8%, Forward P/E -19.09, Market Cap $5.9B, Price $48.63, 289 Employees, accessed September 2026</w:t>
      </w:r>
    </w:p>
    <w:p>
      <w:pPr>
        <w:spacing w:before="400"/>
        <w:jc w:val="center"/>
      </w:pPr>
      <w:r>
        <w:rPr>
          <w:rFonts w:ascii="Calibri" w:hAnsi="Calibri"/>
          <w:b w:val="0"/>
          <w:color w:val="9DAF88"/>
          <w:sz w:val="16"/>
        </w:rPr>
        <w:t>Paradiem, LLC dba Intentional Ownership (“IOWN”) is a registered investment advisor. The information provided is for educational and informational purposes only and does not constitute investment advice.</w:t>
      </w:r>
    </w:p>
    <w:sectPr w:rsidR="00FC693F" w:rsidRPr="0006063C" w:rsidSect="00034616">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