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SSRM</w:t>
      </w:r>
      <w:r>
        <w:rPr>
          <w:rFonts w:ascii="Calibri" w:hAnsi="Calibri"/>
          <w:b/>
          <w:color w:val="1A2010"/>
          <w:sz w:val="40"/>
        </w:rPr>
        <w:t xml:space="preserve">  SSR Mining Inc.</w:t>
      </w:r>
    </w:p>
    <w:p>
      <w:pPr>
        <w:spacing w:after="120"/>
      </w:pPr>
      <w:r>
        <w:rPr>
          <w:rFonts w:ascii="Calibri" w:hAnsi="Calibri"/>
          <w:b/>
          <w:color w:val="6E8450"/>
          <w:sz w:val="18"/>
        </w:rPr>
        <w:t>GROWTH SLEEVE · 2026-08-30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Gold · NASDAQ · United States</w:t>
      </w:r>
    </w:p>
    <w:p>
      <w:pPr>
        <w:spacing w:after="80"/>
      </w:pPr>
      <w:r>
        <w:rPr>
          <w:rFonts w:ascii="Calibri" w:hAnsi="Calibri"/>
          <w:b w:val="0"/>
          <w:color w:val="3A4A28"/>
          <w:sz w:val="20"/>
        </w:rPr>
        <w:t>SSR Mining is a precious metals mining company focused on the Americas, operating the Marigold gold mine in Nevada, the Seabee gold operation in Saskatchewan, the Puna silver-lead-zinc operation in Argentina, and the Cripple Creek &amp; Victor gold mine in Colorado. The company completed its $1.5B sale of the Copler mine in Turkey to Cengiz Holding on June 24, 2026, following the fatal 2024 heap leach pad failure. Third-largest gold producer in the United States. Q2 2026 revenue of $443.8M. Market cap approximately $6.4B.</w:t>
      </w:r>
    </w:p>
    <w:p>
      <w:r>
        <w:rPr>
          <w:rFonts w:ascii="Calibri" w:hAnsi="Calibri"/>
          <w:b/>
          <w:color w:val="6E8450"/>
          <w:sz w:val="18"/>
        </w:rPr>
        <w:t>2,900 Employees · https://www.ssrmining.com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SSR Mining's most significant strategic move was the $1.5B divestiture of Copler to Cengiz Holding, completed June 24, 2026 — a crisis response to the 2024 heap leach pad collapse rather than proactive innovation [1][3]. Year-end 2025 mineral reserves rose to 11M gold-equivalent ounces (up ~40%), reflecting successful exploration at existing operations. AI Deployment (0/2): No evidence of AI-powered products or measurable AI-driven operational improvements. The company has not disclosed specific AI initiatives despite broader mining industry adoption of autonomous equipment and AI geological modeling [2]. Market Share (1/2): SSR Mining is the third-largest gold producer in the United States, operating quality assets across Nevada, Saskatchewan, Colorado, and Argentina, but remains a mid-tier miner without dominant category leadership globally [1][4]. Product Pipeline (1/2): 2026 production guidance of 450,000-535,000 gold-equivalent ounces with strong Q2 results. The $1.5B Copler proceeds and strong FCF provide acquisition firepower for portfolio expansion. R&amp;D Intensity (0/1): Mining-standard exploration spend with no differentiated R&amp;D investment beyond conventional geological programs.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SSR Mining's stated purpose is generic — responsible mining, operational excellence, and value creation for stakeholders, interchangeable with virtually any mining peer [2]. Community Impact (1/2): The company maintains ESG commitments and community programs at mine sites, publishing annual sustainability reports. However, the Copler disaster — nine workers killed in the February 2024 heap leach pad collapse caused by a third-party design flaw in the liner system — represents a catastrophic failure of social license and workplace safety [3]. The $250-300M in remediation costs were legal obligation, not voluntary community investment. Employee Retention (1/2): Glassdoor rating of 2.7/5 overall with 2.6/5 for culture and values across 55 reviews. Employees cite 'deep rooted corporate culture of ego battles,' 'territorial and micro managing leadership with no oversight from executives,' and 'no clear priorities as they are ever changing' [2]. Insider Buying (0/2): No notable open-market insider purchases identified. The $500M additional buyback program represents corporate capital allocation, not personal insider conviction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SSR Mining's financial profile has strengthened materially since the Copler divestiture, with D/E of just 1.82% — virtually debt-free — and $1.5B in Copler sale proceeds bolstering total liquidity [5][6]. Forward P/E of 7.36 represents deep value versus gold mining peers trading at 12-14x [6]. Q2 2026 delivered revenue of $443.8M with diluted EPS of $0.47, while Q1 2026 surged 84% to $581.8M with adjusted EPS of $1.15 beating consensus by 46% [4][5]. ROE improved to 17.34%, now exceeding the 15% target, as Copler-related charges cleared and gold price strength boosted returns [6]. Profit margin surged to 29.47%, well above the 20% target, driven by record gold prices (+44% YTD) and operational efficiency at continuing operations. Revenue growth YoY exceeds 40% on a blended basis driven by gold prices. Revenue growth 5yr CAGR and PEG are unavailable due to corporate restructuring (Copler shutdown/sale). The $500M additional buyback authorization and reinstated $0.03/quarter dividend signal capital discipline. Liquidity check passes: 3.63M avg vol x ~$31 = ~$112M.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SSR Mining operates with a largely finite mindset — optimizing for production volumes, cost per ounce, and shareholder returns through buybacks rather than articulating a vision beyond commodity extraction. The Copler disaster exposed governance and safety culture gaps, and the $1.5B sale was a pragmatic exit rather than a values-driven decision. The $500M additional buyback program and $0.03/quarter reinstated dividend prioritize near-term shareholder returns over long-term capability building. Glassdoor reviews (2.7/5) citing 'ego battles' and 'micro managing leadership' reinforce a finite organizational culture.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SSR Mining's purpose is generic responsible mining and value creation — indistinguishable from any peer in the gold mining sector [2]. There is no articulated vision of a better future that transcends commodity extraction. The company exists to mine precious metals profitably and return capital to shareholders, which is a finite goal by Sinek's definition. The Americas-focused pivot post-Copler is strategic repositioning, not a cause worth sacrificing for.</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Copler disaster — nine workers killed due to a design flaw in the heap leach pad liner system — represents a fundamental failure of safety culture and organizational accountability [3]. Glassdoor reviews (2.7/5 overall, 2.6/5 culture) describe 'deep rooted corporate culture of ego battles,' 'territorial and micro managing leadership with no oversight from executives,' 'no clear priorities as they are ever changing,' and 'weak to no leadership/management in some departments' [2]. This is a low-trust environment by Sinek's standards.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SSR Mining's competitive language is standard finite mining framing — focused on AISC per ounce relative to peers, production volumes, and reserve replacement ratios rather than learning from rivals' strengths [4]. Q2 2026 earnings call highlighted 'cost pressures' without reference to competitive learning or self-improvement through rivalry [5]. Management discussion centers on cost competitiveness and capital returns, typical finite competitive positioning.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$1.5B sale of Copler — SSR Mining's historically largest asset — and the strategic pivot to Americas-focused operations demonstrates meaningful flexibility, even if crisis-driven rather than vision-driven [3]. The company's transformation from Silver Standard Resources (silver focus) to SSR Mining (gold focus) over the past decade, and now to a US-focused gold producer post-Copler, shows willingness to evolve the business model when circumstances demand it.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Rod Antal's decision to sell Copler for $1.5B rather than attempting a costly restart showed pragmatic courage — walking away from the company's historically largest asset and accepting the write-downs [3]. The subsequent $800M in total buyback authorizations and capital redeployment signal confidence in remaining assets. However, the Copler incident itself raised fundamental questions about whether leadership prioritized production over worker safety, undermining the courage narrative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SSR Mining is a deep-value gold miner trading at 7.36x forward earnings versus peer multiples of 12-14x, with improving fundamentals driven by record gold prices and post-Copler operational clarity [5][6]. Q1 2026 delivered a strong beat — revenue surged 84% to $581.8M, adjusted EPS of $1.15 exceeded the $0.79 consensus by 46%, and free cash flow nearly tripled to $210.8M [4]. Q2 2026 followed with $443.8M revenue and $0.47 EPS (+11.9% YoY) [5]. The balance sheet is pristine at 1.82% D/E with $1.5B in completed Copler sale proceeds plus $1.1B in existing liquidity, providing extraordinary firepower for acquisitions. ROE has improved to 17.34% and profit margin to 29.47% as Copler charges clear and gold prices surge [6]. The $500M additional buyback program at 7.36x forward earnings provides meaningful per-share value accretion.</w:t>
      </w:r>
    </w:p>
    <w:p>
      <w:pPr>
        <w:spacing w:after="120"/>
      </w:pPr>
      <w:r>
        <w:rPr>
          <w:rFonts w:ascii="Calibri" w:hAnsi="Calibri"/>
          <w:b w:val="0"/>
          <w:color w:val="3A4A28"/>
          <w:sz w:val="20"/>
        </w:rPr>
        <w:t>The bear case centers on the Copler disaster's lasting impact on management credibility and the execution risk of capital redeployment. Nine workers were killed in the February 2024 heap leach pad collapse, exposing fundamental safety culture failures that Glassdoor reviews (2.7/5) corroborate with descriptions of 'ego battles' and 'micro managing leadership' [2][3]. Without Copler, SSR Mining has a smaller production base (450,000-535,000 gold-equivalent ounces for 2026) with limited mine diversification [4]. The deep valuation discount to peers may reflect legitimate governance concerns rather than simple mispricing. Capital allocation is the critical risk — the company must redeploy $1.5B+ into value-accretive acquisitions during a gold bull market where mining asset prices are elevated and overpaying would destroy the deep-value thesis. Q2 2026 highlighted 'cost pressures' amid strong cash position, suggesting operational challenges that gold price alone cannot solve [5]. Revenue and earnings are heavily leveraged to gold prices, and any correction in gold (currently at record levels) would compress margins and production economics.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Value-accretive deployment of $1.5B+ in Copler sale proceeds into new mining assets could transform SSR Mining's production profile and reserve base, potentially narrowing the peer valuation discount [4][5]</w:t>
      </w:r>
    </w:p>
    <w:p>
      <w:pPr>
        <w:spacing w:before="40" w:after="40"/>
        <w:ind w:left="283"/>
      </w:pPr>
      <w:r>
        <w:rPr>
          <w:rFonts w:ascii="Calibri" w:hAnsi="Calibri"/>
          <w:b/>
          <w:color w:val="4A6B25"/>
          <w:sz w:val="20"/>
        </w:rPr>
        <w:t xml:space="preserve">2. </w:t>
      </w:r>
      <w:r>
        <w:rPr>
          <w:rFonts w:ascii="Calibri" w:hAnsi="Calibri"/>
          <w:b w:val="0"/>
          <w:color w:val="3A4A28"/>
          <w:sz w:val="20"/>
        </w:rPr>
        <w:t>Gold price strength with 44% YTD gains driving analyst EPS estimates higher — Q1 adjusted EPS of $1.15 annualizes to $4.60+, representing significant earnings power at current gold levels [4]</w:t>
      </w:r>
    </w:p>
    <w:p>
      <w:pPr>
        <w:spacing w:before="40" w:after="40"/>
        <w:ind w:left="283"/>
      </w:pPr>
      <w:r>
        <w:rPr>
          <w:rFonts w:ascii="Calibri" w:hAnsi="Calibri"/>
          <w:b/>
          <w:color w:val="4A6B25"/>
          <w:sz w:val="20"/>
        </w:rPr>
        <w:t xml:space="preserve">3. </w:t>
      </w:r>
      <w:r>
        <w:rPr>
          <w:rFonts w:ascii="Calibri" w:hAnsi="Calibri"/>
          <w:b w:val="0"/>
          <w:color w:val="3A4A28"/>
          <w:sz w:val="20"/>
        </w:rPr>
        <w:t>$800M in total buyback authorizations at 7.36x forward earnings providing meaningful per-share value accretion and signaling management confidence in the stock's discount to intrinsic value [4][6]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Post-Copler credibility deficit — the fatal 2024 heap leach pad collapse killed nine workers, exposing safety culture failures confirmed by Glassdoor reviews (2.7/5), potentially impairing management credibility with investors, regulators, and acquisition targets [2][3]</w:t>
      </w:r>
    </w:p>
    <w:p>
      <w:pPr>
        <w:spacing w:before="40" w:after="40"/>
        <w:ind w:left="283"/>
      </w:pPr>
      <w:r>
        <w:rPr>
          <w:rFonts w:ascii="Calibri" w:hAnsi="Calibri"/>
          <w:b/>
          <w:color w:val="4A6B25"/>
          <w:sz w:val="20"/>
        </w:rPr>
        <w:t xml:space="preserve">2. </w:t>
      </w:r>
      <w:r>
        <w:rPr>
          <w:rFonts w:ascii="Calibri" w:hAnsi="Calibri"/>
          <w:b w:val="0"/>
          <w:color w:val="3A4A28"/>
          <w:sz w:val="20"/>
        </w:rPr>
        <w:t>Capital redeployment risk — SSR Mining must find and execute value-accretive acquisitions with $1.5B+ during a gold bull market where mining asset prices are elevated, and overpaying would destroy the deep-value thesis [4]</w:t>
      </w:r>
    </w:p>
    <w:p>
      <w:pPr>
        <w:spacing w:before="40" w:after="40"/>
        <w:ind w:left="283"/>
      </w:pPr>
      <w:r>
        <w:rPr>
          <w:rFonts w:ascii="Calibri" w:hAnsi="Calibri"/>
          <w:b/>
          <w:color w:val="4A6B25"/>
          <w:sz w:val="20"/>
        </w:rPr>
        <w:t xml:space="preserve">3. </w:t>
      </w:r>
      <w:r>
        <w:rPr>
          <w:rFonts w:ascii="Calibri" w:hAnsi="Calibri"/>
          <w:b w:val="0"/>
          <w:color w:val="3A4A28"/>
          <w:sz w:val="20"/>
        </w:rPr>
        <w:t>Gold price concentration risk — all revenue and margin metrics are heavily leveraged to record gold prices (+44% YTD), and any meaningful correction in gold would compress profit margins, reduce FCF, and potentially impair the valuation thesis [4][6]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Gold mining is a physical-world operation that AI structurally cannot displace — extracting gold from underground and open-pit mines requires heavy equipment, geological expertise, and physical infrastructure that no AI tool can substitute [1]. SSR Mining's core revenue streams — Marigold heap leach, Seabee underground, CCV open pit, and Puna polymetallic operations — face zero substitution risk from AI. The gold price itself is driven by macroeconomic factors (inflation hedging, central bank buying, geopolitical risk) entirely orthogonal to AI disruption. AI may actually increase demand for precious metals through electronics and data center infrastructure expansion. The only modest risk is that AI-driven exploration tools could help competitors identify deposits more efficiently, but this does not threaten SSR Mining's existing reserves and operations. AI Opportunity (0/1): SSR Mining has not disclosed any AI-powered products or services generating revenue. The company may use basic automation in operations, but no measurable AI revenue contribution is evident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SSR Mining FY2025 Results — 11M Gold-Equivalent Ounce Reserves, Production Guidance, Copler Remediation Update, SEC Filings, February 2026</w:t>
      </w:r>
    </w:p>
    <w:p>
      <w:pPr>
        <w:spacing w:before="20" w:after="20"/>
        <w:ind w:left="170"/>
      </w:pPr>
      <w:r>
        <w:rPr>
          <w:rFonts w:ascii="Calibri" w:hAnsi="Calibri"/>
          <w:b/>
          <w:color w:val="4A6B25"/>
          <w:sz w:val="15"/>
        </w:rPr>
        <w:t xml:space="preserve">2. </w:t>
      </w:r>
      <w:r>
        <w:rPr>
          <w:rFonts w:ascii="Calibri" w:hAnsi="Calibri"/>
          <w:b w:val="0"/>
          <w:color w:val="3A4A28"/>
          <w:sz w:val="17"/>
        </w:rPr>
        <w:t>Glassdoor SSR Mining Reviews — 2.7/5 Overall Rating, 2.6/5 Culture and Values, 55 Anonymous Reviews, accessed August 2026</w:t>
      </w:r>
    </w:p>
    <w:p>
      <w:pPr>
        <w:spacing w:before="20" w:after="20"/>
        <w:ind w:left="170"/>
      </w:pPr>
      <w:r>
        <w:rPr>
          <w:rFonts w:ascii="Calibri" w:hAnsi="Calibri"/>
          <w:b/>
          <w:color w:val="4A6B25"/>
          <w:sz w:val="15"/>
        </w:rPr>
        <w:t xml:space="preserve">3. </w:t>
      </w:r>
      <w:r>
        <w:rPr>
          <w:rFonts w:ascii="Calibri" w:hAnsi="Calibri"/>
          <w:b w:val="0"/>
          <w:color w:val="3A4A28"/>
          <w:sz w:val="17"/>
        </w:rPr>
        <w:t>Copler Mine Disaster — February 2024 Heap Leach Pad Collapse, Nine Fatalities, Third-Party Design Flaw, $1.5B Sale to Cengiz Holding Completed June 24, 2026</w:t>
      </w:r>
    </w:p>
    <w:p>
      <w:pPr>
        <w:spacing w:before="20" w:after="20"/>
        <w:ind w:left="170"/>
      </w:pPr>
      <w:r>
        <w:rPr>
          <w:rFonts w:ascii="Calibri" w:hAnsi="Calibri"/>
          <w:b/>
          <w:color w:val="4A6B25"/>
          <w:sz w:val="15"/>
        </w:rPr>
        <w:t xml:space="preserve">4. </w:t>
      </w:r>
      <w:r>
        <w:rPr>
          <w:rFonts w:ascii="Calibri" w:hAnsi="Calibri"/>
          <w:b w:val="0"/>
          <w:color w:val="3A4A28"/>
          <w:sz w:val="17"/>
        </w:rPr>
        <w:t>SSR Mining Q1 2026 Results — $581.8M Revenue (+84%), $1.15 Adjusted EPS, $210.8M FCF, $500M Additional Buyback, Dividend Reinstated, May 2026</w:t>
      </w:r>
    </w:p>
    <w:p>
      <w:pPr>
        <w:spacing w:before="20" w:after="20"/>
        <w:ind w:left="170"/>
      </w:pPr>
      <w:r>
        <w:rPr>
          <w:rFonts w:ascii="Calibri" w:hAnsi="Calibri"/>
          <w:b/>
          <w:color w:val="4A6B25"/>
          <w:sz w:val="15"/>
        </w:rPr>
        <w:t xml:space="preserve">5. </w:t>
      </w:r>
      <w:r>
        <w:rPr>
          <w:rFonts w:ascii="Calibri" w:hAnsi="Calibri"/>
          <w:b w:val="0"/>
          <w:color w:val="3A4A28"/>
          <w:sz w:val="17"/>
        </w:rPr>
        <w:t>SSR Mining Q2 2026 Results — $443.8M Revenue, $0.47 Diluted EPS (+11.9% YoY), Strong Cash Position, Cost Pressures, SEC Form 10-Q, August 2026</w:t>
      </w:r>
    </w:p>
    <w:p>
      <w:pPr>
        <w:spacing w:before="20" w:after="20"/>
        <w:ind w:left="170"/>
      </w:pPr>
      <w:r>
        <w:rPr>
          <w:rFonts w:ascii="Calibri" w:hAnsi="Calibri"/>
          <w:b/>
          <w:color w:val="4A6B25"/>
          <w:sz w:val="15"/>
        </w:rPr>
        <w:t xml:space="preserve">6. </w:t>
      </w:r>
      <w:r>
        <w:rPr>
          <w:rFonts w:ascii="Calibri" w:hAnsi="Calibri"/>
          <w:b w:val="0"/>
          <w:color w:val="3A4A28"/>
          <w:sz w:val="17"/>
        </w:rPr>
        <w:t>StockAnalysis, GuruFocus, CNBC — SSRM Key Statistics: Forward P/E 7.36, D/E 1.82%, ROE 17.34%, Profit Margin 29.47%,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