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SSYS</w:t>
      </w:r>
      <w:r>
        <w:rPr>
          <w:rFonts w:ascii="Calibri" w:hAnsi="Calibri"/>
          <w:b/>
          <w:color w:val="1A2010"/>
          <w:sz w:val="40"/>
        </w:rPr>
        <w:t xml:space="preserve">  Stratasys Ltd.</w:t>
      </w:r>
    </w:p>
    <w:p>
      <w:pPr>
        <w:spacing w:after="120"/>
      </w:pPr>
      <w:r>
        <w:rPr>
          <w:rFonts w:ascii="Calibri" w:hAnsi="Calibri"/>
          <w:b/>
          <w:color w:val="6E8450"/>
          <w:sz w:val="18"/>
        </w:rPr>
        <w:t>GROWTH SLEEVE · 2026-09-30 · Inspire: 64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NASDAQ · United States</w:t>
      </w:r>
    </w:p>
    <w:p>
      <w:pPr>
        <w:spacing w:after="80"/>
      </w:pPr>
      <w:r>
        <w:rPr>
          <w:rFonts w:ascii="Calibri" w:hAnsi="Calibri"/>
          <w:b w:val="0"/>
          <w:color w:val="3A4A28"/>
          <w:sz w:val="20"/>
        </w:rPr>
        <w:t>Stratasys Ltd. is a connected polymer-based 3D printing solutions provider headquartered in Minnetonka, Minnesota with significant operations in Israel. The company offers a broad range of additive manufacturing technologies including FDM, PolyJet, stereolithography (Neo SLA), DLP (Origin P3), and SAF powder-based printing across industrial, dental, medical, and aerospace applications. Under CEO Yoav Zeif, Stratasys has been navigating a prolonged industry downturn — Q1 2026 revenue of $132.7M declined 2.4% YoY, with product revenue down 5.3% offset by services growth of 4.0%. Full-year 2026 guidance projects revenue of $565-575M with non-GAAP operating margins of 0.7-1.5%. Market cap is approximately $745M against a net cash position of ~$187M.</w:t>
      </w:r>
    </w:p>
    <w:p>
      <w:r>
        <w:rPr>
          <w:rFonts w:ascii="Calibri" w:hAnsi="Calibri"/>
          <w:b/>
          <w:color w:val="6E8450"/>
          <w:sz w:val="18"/>
        </w:rPr>
        <w:t>1,757 Employees · https://www.stratasys.com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Stratasys has launched multiple new printing platforms over the last 5 years — Origin P3 (DLP technology), SAF (powder-based), Neo SLA, and J35 Pro desktop — but none have driven meaningful revenue growth, with total revenue declining from $651M (2022) to $547M TTM, a 16% contraction [1]. The MakerBot consumer 3D printing acquisition was eventually exited, representing a failed strategic bet. These are incremental product extensions rather than transformative pivots. AI Deployment (0/2): No AI-powered products shipping to customers with measurable revenue impact. Stratasys has integrated AI elements into its GrabCAD software for design optimization and print path planning, but no quantified cost savings or revenue contribution from AI initiatives has been reported [2]. Market Share (1/2): Stratasys is a meaningful player in industrial 3D printing alongside 3D Systems, HP, and EOS, with strong positions in PolyJet and FDM technologies for prototyping and tooling. However, HP has gained significant share in production applications and Stratasys is not the clear category leader [1]. Product Pipeline (0/2): No specific next-generation products with named launch dates and revenue visibility; the company references sequential improvement through 2026 but provides no named platforms with specific timelines [1]. R&amp;D Intensity (1/1): Stratasys invests heavily in R&amp;D relative to its revenue base, maintaining multi-technology platform development across six distinct printing technologies, above the computer hardware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Stratasys positions itself around 'Mindful Manufacturing' and 'leading the global shift to additive manufacturing,' connecting 3D printing to sustainability, waste reduction, and manufacturing transformation [3]. This is clear and identifies a larger purpose beyond selling printers — reducing waste and enabling more sustainable production. However, it has not been validated by consistent strategic execution, as the company's declining revenue and restructuring suggest the mission hasn't shaped winning decisions. Community Impact (1/2): Stratasys earned an EcoVadis Gold Medal (top 5% globally), consumed 778,365 kWh of renewable energy avoiding 554 tons of CO2 emissions, achieved a 15.5% reduction in GHG emissions intensity, and implemented an Equal Parent Policy increasing parental leave uptake by 17% [3]. These are measurable but represent general corporate sustainability rather than distinctive community investment. Employee Retention (0/2): Glassdoor rating of 3.4/5 with highly negative qualitative reviews — employees describe 'toxic culture,' 'leadership is inept,' and 'highly political' decision-making [2]. Multiple reviews state the company is 'no longer an innovation company' and 'does little to develop their culture and people.' This evidence suggests a low-trust, low-morale environment. Insider Buying (0/2): No evidence of meaningful net insider buying by executives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primary strength is a nearly debt-free balance sheet with D/E of just 3.1% and net cash of ~$187M ($212.5M cash vs. $25.4M debt), scoring perfectly on leverage [4]. However, most other metrics score poorly: ROE is deeply negative at -13.4% (2x weight, scores 0), profit margin is -21.0% reflecting persistent GAAP losses totaling $348M over the last three fiscal years, revenue growth YoY is -0.3%, and 5yr revenue CAGR is approximately -2.1% as revenue has declined from ~$607M (2021) to $547M TTM [1]. Forward P/E of 45.4x is well above the 20x target though at least indicating a path to profitability, and Forward PEG of 2.06 provides partial credit (2x weight). The stock clears the liquidity floor with ~$5.5M in daily trading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Stratasys operates with a predominantly finite mindset — the company has been in cost-cutting survival mode with declining revenue, toxic employee culture per Glassdoor reviews, and no clear Just Cause beyond generic manufacturing transformation rhetoric. The successful defense against Nano Dimension's hostile takeover in 2023-2024 showed some strategic conviction, and the multi-technology platform evolution demonstrates flexibility. However, declining financials, cultural dysfunction, and lack of a validated purpose place Stratasys firmly in finite territory from Sinek's perspective.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Stratasys articulates 'Mindful Manufacturing' and positions 3D printing as transforming manufacturing toward sustainability and waste reduction [3]. This is a legitimate purpose statement that connects the company's work to a larger societal benefit. However, it reads as marketing rather than a deeply held organizational conviction — the company's strategic decisions (cost cutting, restructuring, fighting off acquisitions) are driven by financial survival rather than advancing a manufacturing revolution. A declining business cannot credibly claim a transformative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concerning picture — employees describe 'toxic culture,' call leadership 'inept,' and report 'highly political' decision-making where outcomes depend on 'who managed to strong-arm other top managers' [2]. Multiple reviews state the company 'does little to develop their culture and people but demands a lot.' At 3.4/5 with frequent mentions of organizational dysfunction, Stratasys appears to lack the psychological safety and empowerment that Sinek considers foundational to infinite-game organizations.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Stratasys engaged in a protracted hostile takeover defense against Nano Dimension, which included public proxy battles and shareholder campaigns — language and actions more consistent with competitive warfare than competitive learning [2]. No management commentary was found referencing learning from competitors' strengths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Stratasys has evolved its technology platform over time — from FDM-only origins to six distinct printing technologies (FDM, PolyJet, SLA, DLP/P3, SAF, TechStyle) covering prototyping, tooling, production parts, dental, and medical applications [1]. The exit from consumer 3D printing (MakerBot divestiture) showed willingness to abandon a failing business line. However, these are incremental technology additions rather than a fundamental reinvention of the company's business model or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Stratasys demonstrated strategic conviction in rejecting Nano Dimension's hostile takeover attempts in 2023-2024, choosing long-term independence over a short-term acquisition premium when the board believed the offers undervalued the company's technology portfolio [2]. The continued investment in six printing technology platforms despite sustained losses shows some willingness to invest for the future. However, the broader pattern is cost-cutting and restructuring driven by financial necessity rather than courageous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Stratasys offers a deep-value turnaround case — trading at 0.91x book value with a net cash position of ~$187M ($212.5M cash, $25.4M debt) against a $745M market cap, the downside is partially protected by the balance sheet [4]. The company holds a broad portfolio of six 3D printing technologies serving industrial, dental, medical, and aerospace verticals, and 2026 guidance of $565-575M revenue with 0.7-1.5% non-GAAP operating margins signals a potential inflection toward profitability after three consecutive years of GAAP losses [1]. AI-driven generative design and on-demand manufacturing trends structurally favor additive manufacturing adoption over time, and Stratasys's installed base of industrial printers creates recurring consumables and service revenue.</w:t>
      </w:r>
    </w:p>
    <w:p>
      <w:pPr>
        <w:spacing w:after="120"/>
      </w:pPr>
      <w:r>
        <w:rPr>
          <w:rFonts w:ascii="Calibri" w:hAnsi="Calibri"/>
          <w:b w:val="0"/>
          <w:color w:val="3A4A28"/>
          <w:sz w:val="20"/>
        </w:rPr>
        <w:t>The bear case is severe: revenue has declined 16% from $651M (2022) to $547M TTM with no clear bottom in sight, and GAAP losses total $348M over the last three fiscal years [1][4]. Profit margin of -21% and ROE of -13.4% reflect a business that is destroying value. The non-GAAP profitability guidance of 0.7-1.5% operating margin represents barely break-even operations, and $17M in tariff/FX headwinds create additional pressure. Glassdoor reviews describing 'toxic culture' and 'inept leadership' suggest deep organizational dysfunction that may prevent a turnaround under current management [2]. The 3D printing industry remains fragmented with HP, 3D Systems, EOS, and emerging Chinese competitors all vying for market share, and enterprise customers have been slow to adopt additive manufacturing for production at scale. Forward P/E of 45.4x prices in significant earnings recovery that has not materialized over multiple years of promises. The Inspire Impact Score of 64 (ALIGNED) and EcoVadis Gold Medal are positives for faith-based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GAAP profitability as restructuring actions take hold — 2026 non-GAAP operating margins guided to 0.7-1.5% represent the first positive operating income in years, with sequential revenue improvement expected through H2 2026 [1]</w:t>
      </w:r>
    </w:p>
    <w:p>
      <w:pPr>
        <w:spacing w:before="40" w:after="40"/>
        <w:ind w:left="283"/>
      </w:pPr>
      <w:r>
        <w:rPr>
          <w:rFonts w:ascii="Calibri" w:hAnsi="Calibri"/>
          <w:b/>
          <w:color w:val="4A6B25"/>
          <w:sz w:val="20"/>
        </w:rPr>
        <w:t xml:space="preserve">2. </w:t>
      </w:r>
      <w:r>
        <w:rPr>
          <w:rFonts w:ascii="Calibri" w:hAnsi="Calibri"/>
          <w:b w:val="0"/>
          <w:color w:val="3A4A28"/>
          <w:sz w:val="20"/>
        </w:rPr>
        <w:t>AI-driven generative design adoption could accelerate demand for additive manufacturing as complex optimized geometries increasingly require 3D printing rather than traditional manufacturing methods</w:t>
      </w:r>
    </w:p>
    <w:p>
      <w:pPr>
        <w:spacing w:before="40" w:after="40"/>
        <w:ind w:left="283"/>
      </w:pPr>
      <w:r>
        <w:rPr>
          <w:rFonts w:ascii="Calibri" w:hAnsi="Calibri"/>
          <w:b/>
          <w:color w:val="4A6B25"/>
          <w:sz w:val="20"/>
        </w:rPr>
        <w:t xml:space="preserve">3. </w:t>
      </w:r>
      <w:r>
        <w:rPr>
          <w:rFonts w:ascii="Calibri" w:hAnsi="Calibri"/>
          <w:b w:val="0"/>
          <w:color w:val="3A4A28"/>
          <w:sz w:val="20"/>
        </w:rPr>
        <w:t>Net cash position of $187M provides balance sheet optionality for strategic acquisitions, technology partnerships, or shareholder returns that could unlock value at 0.91x book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revenue decline from $651M (2022) to $547M TTM with no evidence of a structural bottom — enterprise adoption of production 3D printing remains slower than expected, and each missed quarter erodes investor confidence in the turnaround thesis [1]</w:t>
      </w:r>
    </w:p>
    <w:p>
      <w:pPr>
        <w:spacing w:before="40" w:after="40"/>
        <w:ind w:left="283"/>
      </w:pPr>
      <w:r>
        <w:rPr>
          <w:rFonts w:ascii="Calibri" w:hAnsi="Calibri"/>
          <w:b/>
          <w:color w:val="4A6B25"/>
          <w:sz w:val="20"/>
        </w:rPr>
        <w:t xml:space="preserve">2. </w:t>
      </w:r>
      <w:r>
        <w:rPr>
          <w:rFonts w:ascii="Calibri" w:hAnsi="Calibri"/>
          <w:b w:val="0"/>
          <w:color w:val="3A4A28"/>
          <w:sz w:val="20"/>
        </w:rPr>
        <w:t>Organizational dysfunction evidenced by Glassdoor reviews citing 'toxic culture' and 'inept leadership' could prevent effective strategy execution — a turnaround requires motivated teams, and cultural rot is the hardest problem to fix [2]</w:t>
      </w:r>
    </w:p>
    <w:p>
      <w:pPr>
        <w:spacing w:before="40" w:after="40"/>
        <w:ind w:left="283"/>
      </w:pPr>
      <w:r>
        <w:rPr>
          <w:rFonts w:ascii="Calibri" w:hAnsi="Calibri"/>
          <w:b/>
          <w:color w:val="4A6B25"/>
          <w:sz w:val="20"/>
        </w:rPr>
        <w:t xml:space="preserve">3. </w:t>
      </w:r>
      <w:r>
        <w:rPr>
          <w:rFonts w:ascii="Calibri" w:hAnsi="Calibri"/>
          <w:b w:val="0"/>
          <w:color w:val="3A4A28"/>
          <w:sz w:val="20"/>
        </w:rPr>
        <w:t>Forward P/E of 45.4x prices in meaningful earnings recovery; if the expected inflection to GAAP profitability does not materialize in 2026-2027, the multiple could compress significantly on a sub-$1 stock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Stratasys's core business — manufacturing and selling physical 3D printing hardware, materials, and services — is structurally protected from AI disruption. AI cannot replace the physical process of additive manufacturing, and AI-driven generative design and topology optimization actually increase demand for 3D printing by creating complex geometries that only additive manufacturing can produce [2]. The deep material science expertise, proprietary printing processes, and installed base of industrial printers create switching costs that AI cannot replicate. However, AI could enable new competitors to develop competing manufacturing technologies or accelerate Chinese entrants' capabilities, preventing an IMMUNE rating. Analysts do not flag AI as a disruption risk for 3D printing hardware companies. AI Opportunity (0/1): Stratasys has not reported quantifiable revenue from AI-powered products or services. AI integration in GrabCAD software is a feature enhancement, not a revenue driver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Stratasys Q1-Q2 2026 Financial Results — Q1 Revenue $132.7M (-2.4% YoY), Full-Year Guidance $565-575M, Non-GAAP Operating Margin 0.7-1.5%, Tariff/FX Impact ~$17M — SEC 6-K Filings, 3DPrint.com, August 2026</w:t>
      </w:r>
    </w:p>
    <w:p>
      <w:pPr>
        <w:spacing w:before="20" w:after="20"/>
        <w:ind w:left="170"/>
      </w:pPr>
      <w:r>
        <w:rPr>
          <w:rFonts w:ascii="Calibri" w:hAnsi="Calibri"/>
          <w:b/>
          <w:color w:val="4A6B25"/>
          <w:sz w:val="15"/>
        </w:rPr>
        <w:t xml:space="preserve">2. </w:t>
      </w:r>
      <w:r>
        <w:rPr>
          <w:rFonts w:ascii="Calibri" w:hAnsi="Calibri"/>
          <w:b w:val="0"/>
          <w:color w:val="3A4A28"/>
          <w:sz w:val="17"/>
        </w:rPr>
        <w:t>Stratasys Leadership and Culture — CEO Yoav Zeif, Glassdoor 3.4/5, 'Toxic Culture' and 'Inept Leadership' Reviews, Nano Dimension Hostile Takeover Defense 2023-2024 — Glassdoor, Comparably, BusinessWire</w:t>
      </w:r>
    </w:p>
    <w:p>
      <w:pPr>
        <w:spacing w:before="20" w:after="20"/>
        <w:ind w:left="170"/>
      </w:pPr>
      <w:r>
        <w:rPr>
          <w:rFonts w:ascii="Calibri" w:hAnsi="Calibri"/>
          <w:b/>
          <w:color w:val="4A6B25"/>
          <w:sz w:val="15"/>
        </w:rPr>
        <w:t xml:space="preserve">3. </w:t>
      </w:r>
      <w:r>
        <w:rPr>
          <w:rFonts w:ascii="Calibri" w:hAnsi="Calibri"/>
          <w:b w:val="0"/>
          <w:color w:val="3A4A28"/>
          <w:sz w:val="17"/>
        </w:rPr>
        <w:t>Stratasys ESG and Sustainability — EcoVadis Gold Medal (Top 5%), Third Mindful Manufacturing Report, 778,365 kWh Renewable Energy, 15.5% GHG Intensity Reduction, Equal Parent Policy — Stratasys Investor Relations, 3D Printing Industry, 2024</w:t>
      </w:r>
    </w:p>
    <w:p>
      <w:pPr>
        <w:spacing w:before="20" w:after="20"/>
        <w:ind w:left="170"/>
      </w:pPr>
      <w:r>
        <w:rPr>
          <w:rFonts w:ascii="Calibri" w:hAnsi="Calibri"/>
          <w:b/>
          <w:color w:val="4A6B25"/>
          <w:sz w:val="15"/>
        </w:rPr>
        <w:t xml:space="preserve">4. </w:t>
      </w:r>
      <w:r>
        <w:rPr>
          <w:rFonts w:ascii="Calibri" w:hAnsi="Calibri"/>
          <w:b w:val="0"/>
          <w:color w:val="3A4A28"/>
          <w:sz w:val="17"/>
        </w:rPr>
        <w:t>Yahoo Finance — SSYS Key Statistics: Forward P/E 45.39x, D/E 3.1%, ROE -13.4%, Profit Margin -21.0%, P/B 0.91x, Net Cash ~$187M, Stock Price $8.51,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