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STAG</w:t>
      </w:r>
      <w:r>
        <w:rPr>
          <w:rFonts w:ascii="Calibri" w:hAnsi="Calibri"/>
          <w:b/>
          <w:color w:val="1A2010"/>
          <w:sz w:val="40"/>
        </w:rPr>
        <w:t xml:space="preserve">  STAG Industrial, Inc.</w:t>
      </w:r>
    </w:p>
    <w:p>
      <w:pPr>
        <w:spacing w:after="120"/>
      </w:pPr>
      <w:r>
        <w:rPr>
          <w:rFonts w:ascii="Calibri" w:hAnsi="Calibri"/>
          <w:b/>
          <w:color w:val="6E8450"/>
          <w:sz w:val="18"/>
        </w:rPr>
        <w:t>DIVIDEND SLEEVE · 2026-09-21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Industrial · NYSE · United States</w:t>
      </w:r>
    </w:p>
    <w:p>
      <w:pPr>
        <w:spacing w:after="80"/>
      </w:pPr>
      <w:r>
        <w:rPr>
          <w:rFonts w:ascii="Calibri" w:hAnsi="Calibri"/>
          <w:b w:val="0"/>
          <w:color w:val="3A4A28"/>
          <w:sz w:val="20"/>
        </w:rPr>
        <w:t>STAG Industrial is a real estate investment trust focused on the acquisition, development, ownership, and operation of single-tenant industrial properties throughout the United States. As of Q2 2026, the portfolio consists of 606 buildings in 41 states with approximately 122.6 million rentable square feet, serving logistics, e-commerce, and light manufacturing tenants. The company recently raised its dividend 4% to $1.55/share annually and transitioned from monthly to quarterly distributions.</w:t>
      </w:r>
    </w:p>
    <w:p>
      <w:r>
        <w:rPr>
          <w:rFonts w:ascii="Calibri" w:hAnsi="Calibri"/>
          <w:b/>
          <w:color w:val="6E8450"/>
          <w:sz w:val="18"/>
        </w:rPr>
        <w:t>93 Employees · https://www.stagindustrial.com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STAG has grown its portfolio to 606 buildings across 41 states, with 2025 revenue of $845M growing 10.1% YoY and 2025 earnings of $273M rising 44.6% [1]. Q2 2026 revenue grew 8.1% YoY to $224.4M with Core FFO of $0.65/share (up 3.2%) [2]. However, the growth strategy is replication-based — acquiring single-tenant industrial properties at attractive cap rates — rather than transformative innovation. No new product categories or business model pivots in the last five years. AI Deployment (0/2): No evidence of AI-powered products, AI-driven operational savings, or meaningful AI strategy. STAG operates a traditional industrial REIT model focused on property acquisition, leasing, and management without disclosed AI initiatives. Market Share (1/2): STAG is a meaningful player in the single-tenant industrial REIT space with a $7.2B market cap and 122.6M square feet across 41 states, but competes against much larger peers like Prologis ($120B+ market cap) without category leadership [1]. Product Pipeline (1/2): The Dallas development project and emerging data center-related demand represent new growth avenues, with same-store NOI growth guided at 3.5% for 2026 [1][2]. However, no next-generation developments with specific revenue visibility have been announced. R&amp;D Intensity (0/1): REITs do not typically engage in R&amp;D spending; STAG's investment is in property-level improvements and data-driven acquisition underwriting, not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STAG's purpose focuses on providing high-quality industrial real estate solutions for single-tenant users — clear and functional but not distinctive or inspiring beyond operational scope [1]. The company serves the American industrial economy through warehousing, logistics, and manufacturing space, but the mission does not articulate a deeper societal vision. Community Impact (1/2): STAG maintains the STAG Charitable Action Fund and operates the largest rooftop community solar project in the country, demonstrating genuine community investment beyond pure profit optimization for a 93-person company [3]. Employee Retention (1/2): With only 93 employees managing a 606-building portfolio across 41 states, STAG operates with exceptional efficiency that implies high trust and empowerment [1]. COO Steven Kimball brings 25+ years of Prologis/PGIM and STAG experience, indicating leadership continuity and deep institutional knowledge. Insider Buying (0/2): Net insider selling in recent quarters — CEO Crooker sold shares and EVP Pinard sold approximately $1M following the Q2 2026 earnings beat, suggesting profit-taking rather than conviction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D/E of 93.78% scores 0.90, moderate leverage well-managed for the asset-heavy REIT model [5]. ROE of 6.98% scores 0.47, typical for equity REITs where depreciation depresses GAAP earnings relative to cash flow generation. Revenue growth YoY of 8.1% scores 0.94, driven by acquisitions and leasing activity [2]. Revenue growth 5yr CAGR of approximately 12% scores 1.0, reflecting consistent portfolio expansion [1]. Forward P/E of 42.73 scores 0.43, elevated due to REIT-specific GAAP distortions (FFO-based valuation of ~14-15x is more representative) [5]. Profit margin of 28.05% scores 1.0, strong for a REIT [5]. Payout ratio of 116.92% scores 0.0, above the 100% floor of GAAP earnings though adequately covered by FFO/AFFO [5]. Consecutive years paid of 15 scores 1.0 (2x weight) — uninterrupted since 2011 IPO [5]. Consecutive years growth of 8 scores 0.80, reflecting gradual dividend increases since 2018 [5]. 5yr dividend growth CAGR of approximately 1.5% scores 0.25 (2x weight), improved by the 4% raise in 2026 — the largest increase since 2014 — but still well below the 6% target [2]. Weighted sum 8.03/12, Infrastructure 7/10. Liquidity floor cleared: 1.63M avg volume x $37.60 = $61.3M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STAG Industrial operates with steady, long-horizon capital allocation appropriate for a REIT — 15 consecutive years of dividends and measured portfolio expansion across 41 states demonstrate patient investing. However, the company lacks a transformative Just Cause beyond 'own good industrial buildings,' the historically near-flat dividend growth signals prioritizing payout stability over compounding value (improving with the recent 4% raise), and the business model has remained essentially unchanged since its 2011 IPO. Sinek would classify this as a well-managed finite player optimizing a proven formula.</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STAG's purpose is functional — provide high-quality single-tenant industrial space to American businesses [1]. This serves a genuine economic need (logistics, manufacturing, e-commerce fulfillment infrastructure) but lacks the idealism and transformative vision Sinek requires for a true Just Cause. The company exists to generate stable rental income for shareholders, not to advance a vision of a better future. The evolution toward data center-adjacent opportunities shows commercial awareness but not mission-driven flexibility.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STAG's 93-person team managing 606 buildings across 41 states implies exceptional efficiency, empowerment, and trust [1]. COO Kimball's 25+ years of Prologis/PGIM and STAG experience and the STAG Charitable Action Fund suggest a collaborative, values-oriented culture. The transition from monthly to quarterly dividends was communicated transparently with a dividend increase to offset investor concerns [2]. However, no specific evidence of employee survey data, psychological safety metrics, or exceptional trust practices exists for this small team.</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STAG competes alongside Prologis and other industrial REITs but focuses productively on its niche — single-tenant, diversified industrial properties in secondary markets [1]. The company's competitive language focuses on disciplined acquisition and operational excellence within its defined lane, not on defeating larger rivals. CTO Dr. Jit Kee Chin's analytics-driven acquisition approach reflects learning from larger peers' data capabilities [4].</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STAG has operated the same single-tenant industrial REIT model since its 2011 IPO with no transformative pivot or reinvention [1]. The company has grown incrementally — expanding from IPO to 606 buildings — but the core business model of acquire, own, and lease industrial properties has not changed. Emerging interest in data center-related demand is opportunistic adjacency, not existential flexibility. No evidence of willingness to abandon the current model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STAG maintained uninterrupted dividend payments through COVID-19, rising interest rates, and multiple market disruptions, demonstrating commitment to long-term shareholder trust [1]. The 4% dividend increase in 2026 — the largest since 2014 — accompanied by the monthly-to-quarterly distribution transition showed measured boldness in restructuring the capital return framework [2]. The Dallas development project expands beyond pure acquisition growth. However, overall strategic posture remains conservative and incremental.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STAG Industrial offers a 4.12% dividend yield backed by a 606-building portfolio of single-tenant industrial properties diversified across 41 states with 122.6M rentable square feet [1]. Revenue grew 10.1% YoY to $845M in 2025 with earnings up 44.6%, and Q2 2026 Core FFO per diluted share of $0.65 grew 3.2% YoY with revenue up 8.1% to $224.4M [2]. The 4% dividend increase to $1.55/share annual rate — the largest raise since 2014 — signals improving capital return trajectory after years of near-flat dividend growth. The industrial REIT sector benefits from secular tailwinds in e-commerce fulfillment, reshoring, and AI-driven logistics demand. STAG's Inspire score of 58 (ALIGNED) with 13 positive attributions and zero negative makes it one of the strongest faith-aligned names in industrial real estate [3].</w:t>
      </w:r>
    </w:p>
    <w:p>
      <w:pPr>
        <w:spacing w:after="120"/>
      </w:pPr>
      <w:r>
        <w:rPr>
          <w:rFonts w:ascii="Calibri" w:hAnsi="Calibri"/>
          <w:b w:val="0"/>
          <w:color w:val="3A4A28"/>
          <w:sz w:val="20"/>
        </w:rPr>
        <w:t>The bear case centers on GAAP earnings distortion, stagnant historical dividend growth, and REIT structural limitations. The payout ratio of 116.92% of GAAP earnings (though covered by FFO/AFFO) exceeds 100%, and the Forward P/E of 42.73 overstates valuation concerns — P/FFO of ~14-15x is more representative of REIT economics [5]. The 5-year dividend growth CAGR of only ~1.5% means historical real income growth has been minimal, and the recent 4% raise may not establish a new growth trajectory if same-store NOI growth decelerates (guided at 3.5% for 2026, down from 4.0-4.25% in 2025) [2]. ROE of 6.98% reflects the capital-intensive nature of the business and limits total return potential. STAG's single-tenant focus creates binary occupancy risk — when a tenant vacates, the entire building produces zero revenue until re-leased [1]. Rising interest rates increase borrowing costs for the acquisition-driven growth model, and net insider selling by CEO and senior executives is a cautionary signal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demand growth from e-commerce fulfillment automation, data center expansion, and manufacturing reshoring driving occupancy, rental rate increases, and tenant demand across STAG's 122.6M sq ft portfolio [1][2]</w:t>
      </w:r>
    </w:p>
    <w:p>
      <w:pPr>
        <w:spacing w:before="40" w:after="40"/>
        <w:ind w:left="283"/>
      </w:pPr>
      <w:r>
        <w:rPr>
          <w:rFonts w:ascii="Calibri" w:hAnsi="Calibri"/>
          <w:b/>
          <w:color w:val="4A6B25"/>
          <w:sz w:val="20"/>
        </w:rPr>
        <w:t xml:space="preserve">2. </w:t>
      </w:r>
      <w:r>
        <w:rPr>
          <w:rFonts w:ascii="Calibri" w:hAnsi="Calibri"/>
          <w:b w:val="0"/>
          <w:color w:val="3A4A28"/>
          <w:sz w:val="20"/>
        </w:rPr>
        <w:t>Dividend increase from $1.49 to $1.55/share annual rate (4% raise, largest since 2014) alongside the monthly-to-quarterly distribution transition demonstrates improving capital return trajectory and management confidence [2]</w:t>
      </w:r>
    </w:p>
    <w:p>
      <w:pPr>
        <w:spacing w:before="40" w:after="40"/>
        <w:ind w:left="283"/>
      </w:pPr>
      <w:r>
        <w:rPr>
          <w:rFonts w:ascii="Calibri" w:hAnsi="Calibri"/>
          <w:b/>
          <w:color w:val="4A6B25"/>
          <w:sz w:val="20"/>
        </w:rPr>
        <w:t xml:space="preserve">3. </w:t>
      </w:r>
      <w:r>
        <w:rPr>
          <w:rFonts w:ascii="Calibri" w:hAnsi="Calibri"/>
          <w:b w:val="0"/>
          <w:color w:val="3A4A28"/>
          <w:sz w:val="20"/>
        </w:rPr>
        <w:t>New development pipeline including the Dallas project and data center-adjacent opportunities could drive higher-return growth beyond the acquisition-only model, supported by CTO-led analytics capabilities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Historically near-flat dividend growth (1.5% 5yr CAGR) erodes real purchasing power for income investors — if same-store NOI growth decelerates to 3.5% and interest rates remain elevated, dividend growth may remain well below inflation [2][5]</w:t>
      </w:r>
    </w:p>
    <w:p>
      <w:pPr>
        <w:spacing w:before="40" w:after="40"/>
        <w:ind w:left="283"/>
      </w:pPr>
      <w:r>
        <w:rPr>
          <w:rFonts w:ascii="Calibri" w:hAnsi="Calibri"/>
          <w:b/>
          <w:color w:val="4A6B25"/>
          <w:sz w:val="20"/>
        </w:rPr>
        <w:t xml:space="preserve">2. </w:t>
      </w:r>
      <w:r>
        <w:rPr>
          <w:rFonts w:ascii="Calibri" w:hAnsi="Calibri"/>
          <w:b w:val="0"/>
          <w:color w:val="3A4A28"/>
          <w:sz w:val="20"/>
        </w:rPr>
        <w:t>Single-tenant industrial lease structure creates binary vacancy risk — when a tenant vacates, revenue from that building drops to zero until re-leased, with 606 single-tenant buildings each representing an individual credit risk [1]</w:t>
      </w:r>
    </w:p>
    <w:p>
      <w:pPr>
        <w:spacing w:before="40" w:after="40"/>
        <w:ind w:left="283"/>
      </w:pPr>
      <w:r>
        <w:rPr>
          <w:rFonts w:ascii="Calibri" w:hAnsi="Calibri"/>
          <w:b/>
          <w:color w:val="4A6B25"/>
          <w:sz w:val="20"/>
        </w:rPr>
        <w:t xml:space="preserve">3. </w:t>
      </w:r>
      <w:r>
        <w:rPr>
          <w:rFonts w:ascii="Calibri" w:hAnsi="Calibri"/>
          <w:b w:val="0"/>
          <w:color w:val="3A4A28"/>
          <w:sz w:val="20"/>
        </w:rPr>
        <w:t>Payout ratio of 116.92% of GAAP earnings (though covered by FFO/AFFO), net insider selling by CEO and senior executives, and elevated D/E of 93.78% raise concerns about balance sheet flexibility in a rising-rate environment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STAG's core business — owning and leasing physical industrial buildings — is structurally immune to AI disruption [1]. AI cannot replace warehouses, logistics facilities, manufacturing space, or the 122.6 million square feet of industrial real estate across 41 states. In fact, AI adoption by tenants accelerates demand for industrial space: e-commerce fulfillment automation requires more warehouse square footage per unit processed, data center expansion drives demand for industrial land, and reshoring of manufacturing creates new tenant demand. Analysts see zero substitution risk for industrial REITs from AI; the sector is a direct beneficiary of the AI infrastructure buildout [2]. AI Opportunity (0/1): STAG does not generate revenue from AI products or services. The company is a passive beneficiary of AI-driven demand for industrial space rather than an active AI revenue generator — no AI products are sold to tenants or used to generate quantifiable AI-specific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STAG Industrial FY2025 Results — $845M revenue (up 10.1%), $273M earnings (up 44.6%), 601 buildings; SEC 10-K Filing, February 2026</w:t>
      </w:r>
    </w:p>
    <w:p>
      <w:pPr>
        <w:spacing w:before="20" w:after="20"/>
        <w:ind w:left="170"/>
      </w:pPr>
      <w:r>
        <w:rPr>
          <w:rFonts w:ascii="Calibri" w:hAnsi="Calibri"/>
          <w:b/>
          <w:color w:val="4A6B25"/>
          <w:sz w:val="15"/>
        </w:rPr>
        <w:t xml:space="preserve">2. </w:t>
      </w:r>
      <w:r>
        <w:rPr>
          <w:rFonts w:ascii="Calibri" w:hAnsi="Calibri"/>
          <w:b w:val="0"/>
          <w:color w:val="3A4A28"/>
          <w:sz w:val="17"/>
        </w:rPr>
        <w:t>STAG Industrial Q2 2026 Results — Revenue $224.4M (up 8.1%), Core FFO $0.65/share (up 3.2%), Dividend Increase to $1.55 Annual Rate (4% raise), Quarterly Distribution Transition, July 2026</w:t>
      </w:r>
    </w:p>
    <w:p>
      <w:pPr>
        <w:spacing w:before="20" w:after="20"/>
        <w:ind w:left="170"/>
      </w:pPr>
      <w:r>
        <w:rPr>
          <w:rFonts w:ascii="Calibri" w:hAnsi="Calibri"/>
          <w:b/>
          <w:color w:val="4A6B25"/>
          <w:sz w:val="15"/>
        </w:rPr>
        <w:t xml:space="preserve">3. </w:t>
      </w:r>
      <w:r>
        <w:rPr>
          <w:rFonts w:ascii="Calibri" w:hAnsi="Calibri"/>
          <w:b w:val="0"/>
          <w:color w:val="3A4A28"/>
          <w:sz w:val="17"/>
        </w:rPr>
        <w:t>STAG Industrial 2023 Sustainability Report — Charitable Action Fund, Largest Rooftop Community Solar Project, ESG Board Oversight, April 2024</w:t>
      </w:r>
    </w:p>
    <w:p>
      <w:pPr>
        <w:spacing w:before="20" w:after="20"/>
        <w:ind w:left="170"/>
      </w:pPr>
      <w:r>
        <w:rPr>
          <w:rFonts w:ascii="Calibri" w:hAnsi="Calibri"/>
          <w:b/>
          <w:color w:val="4A6B25"/>
          <w:sz w:val="15"/>
        </w:rPr>
        <w:t xml:space="preserve">4. </w:t>
      </w:r>
      <w:r>
        <w:rPr>
          <w:rFonts w:ascii="Calibri" w:hAnsi="Calibri"/>
          <w:b w:val="0"/>
          <w:color w:val="3A4A28"/>
          <w:sz w:val="17"/>
        </w:rPr>
        <w:t>STAG Industrial Leadership — CEO Ben Butcher, CTO Dr. Jit Kee Chin (analytics/data transformation), COO Steven Kimball (25+ years experience), stagindustrial.com,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STAG Key Statistics: Forward P/E 42.73x, ROE 6.98%, D/E 93.78%, Profit Margin 28.05%, Payout Ratio 116.92%, Stock Price $37.60,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