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STEP</w:t>
      </w:r>
      <w:r>
        <w:rPr>
          <w:rFonts w:ascii="Calibri" w:hAnsi="Calibri"/>
          <w:b/>
          <w:color w:val="1A2010"/>
          <w:sz w:val="40"/>
        </w:rPr>
        <w:t xml:space="preserve">  StepStone Group Inc.</w:t>
      </w:r>
    </w:p>
    <w:p>
      <w:pPr>
        <w:spacing w:after="120"/>
      </w:pPr>
      <w:r>
        <w:rPr>
          <w:rFonts w:ascii="Calibri" w:hAnsi="Calibri"/>
          <w:b/>
          <w:color w:val="6E8450"/>
          <w:sz w:val="18"/>
        </w:rPr>
        <w:t>DIVIDEND SLEEVE · 2026-09-26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NASDAQ · United States</w:t>
      </w:r>
    </w:p>
    <w:p>
      <w:pPr>
        <w:spacing w:after="80"/>
      </w:pPr>
      <w:r>
        <w:rPr>
          <w:rFonts w:ascii="Calibri" w:hAnsi="Calibri"/>
          <w:b w:val="0"/>
          <w:color w:val="3A4A28"/>
          <w:sz w:val="20"/>
        </w:rPr>
        <w:t>StepStone Group is a global private-markets investment solutions firm providing advisory, fund management, and data analytics across private equity, infrastructure, real estate, and private debt for institutional and, increasingly, individual investors. Founded in 2007 and headquartered in New York, the firm had $233.3B in assets under management as of March 31, 2026 (up 23% YoY), with fee-related earnings growing 14% to $354.4M and management/advisory fees up 21% to $926.5M for fiscal 2026. StepStone went public in September 2020 and pays a quarterly dividend.</w:t>
      </w:r>
    </w:p>
    <w:p>
      <w:r>
        <w:rPr>
          <w:rFonts w:ascii="Calibri" w:hAnsi="Calibri"/>
          <w:b/>
          <w:color w:val="6E8450"/>
          <w:sz w:val="18"/>
        </w:rPr>
        <w:t>1,355 Employees · https://www.stepstonegroup.com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StepStone grew assets under management 23% YoY to $233.3B (from $189B) with fee-earning AUM compounding at a 21% organic CAGR since FY2021, driven substantially by a genuine platform expansion into private-wealth/evergreen fund products that opened access to individual investors beyond StepStone's traditional institutional client base -- a meaningful new revenue channel, though not yet a full business-model transformation [1]. AI Deployment (1/2): StepStone created a dedicated Head of AI role within Portfolio Management and CEO Scott Hart describes a 'data-driven' investment culture, but Glassdoor reviews note that 'AI-focused initiatives often fall short of the vision, with a big difference between what is proposed and what is delivered,' indicating exploration without fully realized results [3]. Market Share (2/2): $233.3B in AUM with 23% YoY growth and total revenues up 70% to $1,993.6M for fiscal 2026 represent clear, quantified share gains in the private-markets solutions category [1]. Product Pipeline (1/2): The appointment of Lindsay Creedon as Head of Private Equity (effective January 2026) and the promotion of 30 new Partners and Managing Directors for 2026 signal organizational scaling, but no specific dated next-generation product was identified [2]. R&amp;D Intensity (0/1): Not meaningfully disclosed or applicable for an asset-management/advisory business model.</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StepStone frames its culture around 'agility, transparency, collegiality, and humility,' but the firm's stated purpose remains centered on generating investment returns for institutional and, increasingly, individual clients -- a functional description rather than a distinctive articulated purpose [3]. Community Impact (0/2): No specific charitable programs, foundation activity, or community-investment data were identified in research. Employee Retention (0/2): Glassdoor reviews specifically describe leadership's approach to talent management as 'random at best, destructive at worst,' noting that 'well-functioning teams were dismantled' with 'zero transparency' -- negative evidence rather than neutral absence of data [3]. Insider Buying (0/2): No evidence of meaningful net insider buying in the past 12 months was identified in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(StepStone has paid a quarterly dividend since Q4 FY2021, currently yielding roughly 3.9%). D/E of 126.5% scores 0.75, above the 70% target but well inside the 300% floor. GAAP ROE of -61.4% and profit margin of -30.5% both floor at 0.0 -- StepStone's GAAP figures are heavily distorted by fund-consolidation accounting and carried-interest revaluations typical of alternative asset managers, while fee-related earnings (the firm's core recurring metric) grew a healthier 14% to $354.4M [1]. Both revenue-growth metrics score a full 1.0: total fiscal 2026 revenue grew 70% to $1,993.6M (driven partly by lumpy carried-interest allocations) while core management and advisory fees -- a more sustainable measure -- grew 21% to $926.5M, and fee-earning AUM has compounded at a 21% organic CAGR since FY2021 [1]. Forward P/E of 13.0x scores 1.0. On the dividend side, StepStone has paid dividends for roughly 6 consecutive fiscal years since its September 2020 IPO with 5 consecutive years of increases (scores 0.6 and 0.5, respectively), a roughly 32% five-year dividend-per-share growth CAGR scores a capped 1.0, but the GAAP payout ratio of roughly 167% floors at 0.0, reflecting the same fund-consolidation GAAP distortion rather than a genuine cash-coverage problem [4]. Weighted calculation: 7.45 of 12 available weight units -&gt; 6.2, rounds to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StepStone operates with a largely finite-game mindset typical of alternative asset managers -- success is measured in AUM growth, fee-related earnings, and investment returns, all inherently quarterly/annual metrics. The genuine expansion into private-wealth distribution for individual investors shows some adaptive flexibility, and CEO Scott Hart has provided continuity since 2022, but Glassdoor's description of destructive, non-transparent talent management and the absence of any stated purpose beyond investment performance place this firmly in finite territory.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StepStone's expansion into private-wealth distribution is framed internally as 'democratizing access' to private-markets investing for a broader range of investors, which carries a kernel of purpose beyond pure fee generation, and CEO Scott Hart has maintained this direction consistently since 2022 [1][2]. But the cause is still largely narrated in terms of AUM growth and market opportunity rather than a resilient, idealistic vision independent of the firm's own financial performance, and it has not been tested by a genuine crisis or multi-decade track record.</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describing talent management as 'random at best, destructive at worst' with well-functioning teams dismantled and 'zero transparency' in decision-making depict a low-trust environment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management acknowledging competitors' strengths or framing rivalry as motivation for self-improvement; public commentary emphasizes StepStone's own scale and platform breadth [1][2].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build-out of a private-wealth/evergreen fund distribution channel -- opening access to individual investors well beyond StepStone's traditional institutional LP base -- is a meaningful adaptation to an industry-wide shift, contributing to AUM growing from $189B to $233.3B in a single year, though the core advisory/fund-management model itself is unchanged [1].</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specific evidence was found of leadership sacrificing near-term earnings for a costly long-term principle; the firm's growth has tracked opportunistically with the broader alternatives-allocation trend rather than reflecting a distinct courageous bet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StepStone Group's AUM grew 23% YoY to $233.3B and fee-related earnings -- the firm's core recurring profitability metric -- grew 14% to $354.4M in fiscal 2026, while management and advisory fees grew 21% to $926.5M, demonstrating durable, largely recurring revenue growth independent of volatile performance fees [1]. The build-out of a private-wealth distribution channel opens access to a vastly larger pool of individual investors beyond StepStone's traditional institutional client base, and Forward P/E of roughly 13x is inexpensive relative to the firm's underlying fee growth. The 3.88% dividend yield, paid consistently since the firm's September 2020 IPO with 5 consecutive years of increases, adds an income component atop the growth story [4].</w:t>
      </w:r>
    </w:p>
    <w:p>
      <w:pPr>
        <w:spacing w:after="120"/>
      </w:pPr>
      <w:r>
        <w:rPr>
          <w:rFonts w:ascii="Calibri" w:hAnsi="Calibri"/>
          <w:b w:val="0"/>
          <w:color w:val="3A4A28"/>
          <w:sz w:val="20"/>
        </w:rPr>
        <w:t>The bear case centers on GAAP optics and a challenging internal culture. GAAP ROE of -61.4% and profit margin of -30.5% reflect fund-consolidation accounting and carried-interest revaluations rather than the underlying cash-generative fee business, but they create real headline risk and complicate screening for GAAP-focused investors, and the roughly 167% GAAP payout ratio raises legitimate questions about dividend sustainability if fee-related-earnings growth slows [1][4]. Glassdoor reviews describing talent management as 'random at best, destructive at worst,' with well-functioning teams dismantled under 'zero transparency,' suggest meaningful key-person and retention risk in a business built on relationship-driven deal flow [3]. D/E of 126.5% is elevated for a firm with volatile GAAP earnings, and a sustained downturn in private-markets fundraising -- driven by higher rates or LP liquidity constraints -- could slow the 21% organic fee-earning AUM CAGR that underpins the entire growth thesis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fee-earning AUM growth at or near the 21% organic CAGR maintained since FY2021, as institutional allocations to private markets continue rising [1]</w:t>
      </w:r>
    </w:p>
    <w:p>
      <w:pPr>
        <w:spacing w:before="40" w:after="40"/>
        <w:ind w:left="283"/>
      </w:pPr>
      <w:r>
        <w:rPr>
          <w:rFonts w:ascii="Calibri" w:hAnsi="Calibri"/>
          <w:b/>
          <w:color w:val="4A6B25"/>
          <w:sz w:val="20"/>
        </w:rPr>
        <w:t xml:space="preserve">2. </w:t>
      </w:r>
      <w:r>
        <w:rPr>
          <w:rFonts w:ascii="Calibri" w:hAnsi="Calibri"/>
          <w:b w:val="0"/>
          <w:color w:val="3A4A28"/>
          <w:sz w:val="20"/>
        </w:rPr>
        <w:t>Private-wealth/evergreen fund distribution scaling further, opening a large incremental addressable market of individual investors beyond StepStone's traditional institutional base [1][2]</w:t>
      </w:r>
    </w:p>
    <w:p>
      <w:pPr>
        <w:spacing w:before="40" w:after="40"/>
        <w:ind w:left="283"/>
      </w:pPr>
      <w:r>
        <w:rPr>
          <w:rFonts w:ascii="Calibri" w:hAnsi="Calibri"/>
          <w:b/>
          <w:color w:val="4A6B25"/>
          <w:sz w:val="20"/>
        </w:rPr>
        <w:t xml:space="preserve">3. </w:t>
      </w:r>
      <w:r>
        <w:rPr>
          <w:rFonts w:ascii="Calibri" w:hAnsi="Calibri"/>
          <w:b w:val="0"/>
          <w:color w:val="3A4A28"/>
          <w:sz w:val="20"/>
        </w:rPr>
        <w:t>Normalization of GAAP earnings as carried-interest/fund-consolidation items stabilize, which could close the gap between GAAP optics and the underlying 14% fee-related-earnings growth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GAAP payout ratio of roughly 167% alongside negative GAAP ROE/profit margin creates real dividend-sustainability questions if fee-related-earnings growth decelerates, even though the underlying fee business remains healthy [1][4]</w:t>
      </w:r>
    </w:p>
    <w:p>
      <w:pPr>
        <w:spacing w:before="40" w:after="40"/>
        <w:ind w:left="283"/>
      </w:pPr>
      <w:r>
        <w:rPr>
          <w:rFonts w:ascii="Calibri" w:hAnsi="Calibri"/>
          <w:b/>
          <w:color w:val="4A6B25"/>
          <w:sz w:val="20"/>
        </w:rPr>
        <w:t xml:space="preserve">2. </w:t>
      </w:r>
      <w:r>
        <w:rPr>
          <w:rFonts w:ascii="Calibri" w:hAnsi="Calibri"/>
          <w:b w:val="0"/>
          <w:color w:val="3A4A28"/>
          <w:sz w:val="20"/>
        </w:rPr>
        <w:t>Glassdoor evidence of destructive, non-transparent talent management creates key-person and retention risk in a relationship- and deal-flow-driven business [3]</w:t>
      </w:r>
    </w:p>
    <w:p>
      <w:pPr>
        <w:spacing w:before="40" w:after="40"/>
        <w:ind w:left="283"/>
      </w:pPr>
      <w:r>
        <w:rPr>
          <w:rFonts w:ascii="Calibri" w:hAnsi="Calibri"/>
          <w:b/>
          <w:color w:val="4A6B25"/>
          <w:sz w:val="20"/>
        </w:rPr>
        <w:t xml:space="preserve">3. </w:t>
      </w:r>
      <w:r>
        <w:rPr>
          <w:rFonts w:ascii="Calibri" w:hAnsi="Calibri"/>
          <w:b w:val="0"/>
          <w:color w:val="3A4A28"/>
          <w:sz w:val="20"/>
        </w:rPr>
        <w:t>A cyclical slowdown in private-markets fundraising -- from higher rates or LP liquidity constraints -- could slow AUM and fee growth below the 21% organic CAGR baked into the current valuation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StepStone's core business -- advising institutional and, increasingly, individual investors on private-markets fund allocation, performing GP due diligence, and managing co-investment vehicles across $233.3B in AUM -- depends on proprietary GP relationships, deal-flow access, and fiduciary trust built over years, which AI cannot easily replicate [1]. Regulatory registration requirements for investment advisors add a further structural moat. However, AI-powered data/analytics platforms are beginning to democratize parts of private-markets access and due diligence, creating gradual fee-compression risk for less-differentiated advisory work, and StepStone's own Glassdoor reviews suggest its internal AI initiatives are not yet delivering on their promise [3]. AI Opportunity (0/1): No externally monetized AI product or quantified AI-driven revenue was identified; the Head of AI role is focused on internal portfolio-management analytics rather than a customer-facing AI offering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StepStone Group Fiscal Year 2026 (ended March 31, 2026) Results — Fee-Related Earnings, AUM Growth, SEC EDGAR / Shareholders.StepStoneGroup.com, May 2026</w:t>
      </w:r>
    </w:p>
    <w:p>
      <w:pPr>
        <w:spacing w:before="20" w:after="20"/>
        <w:ind w:left="170"/>
      </w:pPr>
      <w:r>
        <w:rPr>
          <w:rFonts w:ascii="Calibri" w:hAnsi="Calibri"/>
          <w:b/>
          <w:color w:val="4A6B25"/>
          <w:sz w:val="15"/>
        </w:rPr>
        <w:t xml:space="preserve">2. </w:t>
      </w:r>
      <w:r>
        <w:rPr>
          <w:rFonts w:ascii="Calibri" w:hAnsi="Calibri"/>
          <w:b w:val="0"/>
          <w:color w:val="3A4A28"/>
          <w:sz w:val="17"/>
        </w:rPr>
        <w:t>StepStone Group FY2026 Leadership Promotions and Head of Private Equity Appointment — SEC EDGAR, StockTitan, 2025-2026</w:t>
      </w:r>
    </w:p>
    <w:p>
      <w:pPr>
        <w:spacing w:before="20" w:after="20"/>
        <w:ind w:left="170"/>
      </w:pPr>
      <w:r>
        <w:rPr>
          <w:rFonts w:ascii="Calibri" w:hAnsi="Calibri"/>
          <w:b/>
          <w:color w:val="4A6B25"/>
          <w:sz w:val="15"/>
        </w:rPr>
        <w:t xml:space="preserve">3. </w:t>
      </w:r>
      <w:r>
        <w:rPr>
          <w:rFonts w:ascii="Calibri" w:hAnsi="Calibri"/>
          <w:b w:val="0"/>
          <w:color w:val="3A4A28"/>
          <w:sz w:val="17"/>
        </w:rPr>
        <w:t>StepStone Group Corporate Website ('Who We Are,' Culture) and Glassdoor Reviews — StepStoneGroup.com, Glassdoor.com,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 Yahoo Finance / FullRatio — STEP Key Statistics and Dividend History,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