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STIM</w:t>
      </w:r>
      <w:r>
        <w:rPr>
          <w:rFonts w:ascii="Calibri" w:hAnsi="Calibri"/>
          <w:b/>
          <w:color w:val="1A2010"/>
          <w:sz w:val="40"/>
        </w:rPr>
        <w:t xml:space="preserve">  Neuronetics, Inc.</w:t>
      </w:r>
    </w:p>
    <w:p>
      <w:pPr>
        <w:spacing w:after="120"/>
      </w:pPr>
      <w:r>
        <w:rPr>
          <w:rFonts w:ascii="Calibri" w:hAnsi="Calibri"/>
          <w:b/>
          <w:color w:val="6E8450"/>
          <w:sz w:val="18"/>
        </w:rPr>
        <w:t>GROWTH SLEEVE · 2026-09-12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Devices · NASDAQ · United States</w:t>
      </w:r>
    </w:p>
    <w:p>
      <w:pPr>
        <w:spacing w:after="80"/>
      </w:pPr>
      <w:r>
        <w:rPr>
          <w:rFonts w:ascii="Calibri" w:hAnsi="Calibri"/>
          <w:b w:val="0"/>
          <w:color w:val="3A4A28"/>
          <w:sz w:val="20"/>
        </w:rPr>
        <w:t>Neuronetics designs, develops, and markets the NeuroStar Advanced Therapy System, an FDA-cleared transcranial magnetic stimulation (TMS) device for treating major depressive disorder and obsessive-compulsive disorder. Following its 2024 acquisition of Greenbrook TMS, the company vertically integrated into clinic operations, now running a network of treatment centers across the United States. Q2 2026 revenue reached $41.6M (+9.1% YoY) with adjusted EBITDA turning positive for the first time, though the company remains unprofitable with a TTM net loss of ~$39M and significant leverage.</w:t>
      </w:r>
    </w:p>
    <w:p>
      <w:r>
        <w:rPr>
          <w:rFonts w:ascii="Calibri" w:hAnsi="Calibri"/>
          <w:b/>
          <w:color w:val="6E8450"/>
          <w:sz w:val="18"/>
        </w:rPr>
        <w:t>1,000 Employees · https://www.neuronetics.com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2024 Greenbrook TMS acquisition was a transformative pivot that converted Neuronetics from a pure device manufacturer into a vertically integrated treatment provider, roughly tripling revenue and opening the clinic operations revenue stream [1][2]. The company has also expanded TMS indications beyond MDD to include OCD, with PTSD evaluations underway. However, the core NeuroStar device platform has not seen a fundamental technology leap in years. AI Deployment (0/2): No evidence of AI-powered products, AI-driven operational efficiencies, or any quantified AI cost savings [1]. The company's technology focus remains on traditional magnetic stimulation hardware. Market Share (1/2): NeuroStar holds the leading installed base position in the U.S. TMS market with over 60% share of installed TMS systems, but TMS itself remains a niche treatment category within the broader mental health landscape [2]. Product Pipeline (0/2): No specific next-generation products have been announced with named timelines or revenue visibility. The company focuses on expanding geographic reach and insurance coverage rather than next-gen hardware [1]. R&amp;D Intensity (0/1): R&amp;D spending is modest relative to revenue as the company prioritizes operational integration of the Greenbrook acquisition and path to profitability over product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Neuronetics' purpose centers on improving quality of life for patients with neurohealth disorders through non-invasive treatment. The mission is clear and connects the company's work to meaningful patient outcomes — reducing treatment-resistant depression — but is not distinctively articulated or deeply embedded in strategic decision-making beyond the obvious business case for TMS therapy. Community Impact (0/2): No evidence of significant charitable giving, foundation activity, or community investment programs beyond the inherent social benefit of treating depression [5]. Employee Retention (0/2): Glassdoor reviews paint a concerning picture with a 2.8 culture and values rating, multiple reviews describing a 'toxic' environment, and reports of leadership dysfunction and corrupt HR practices [4]. This suggests low trust and high turnover rather than mission-driven retention. Insider Buying (0/2): No evidence of meaningful net insider buying by CEO Keith Sullivan or other executives was identified in the research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The 5-year revenue CAGR of ~28% (scoring 1.0 with 2x weight) is the primary driver, though this growth was predominantly acquisition-fueled rather than organic (Greenbrook TMS acquired in 2024 tripled revenue) [1][3]. Revenue growth YoY of 9.1% scores 0.97 against the 10% target. D/E of 209.4% reflects heavy acquisition-related leverage, scoring 0.39 against the 70% target with $65.7M in total debt against $31.4M equity and only $13.2M cash [3]. ROE is deeply negative at approximately -124% (TTM net loss of -$39M on $31.4M equity), scoring 0.0 with 2x weight. Profit margin of -21.1% scores 0.0. Forward P/E and PEG are unavailable due to the company's unprofitability, so they are excluded from the calculation. The stock clears the liquidity floor at ~$2.5M daily dollar volume (avg daily volume ~1.5M shares at $1.70 stock price)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Neuronetics exhibits predominantly finite game characteristics. While the mission of treating depression through TMS is inherently purpose-driven, the company's toxic internal culture (Glassdoor 2.8/5), shareholder activism pushing for strategic alternatives, and leadership instability suggest the organization is playing to survive rather than to endure [4]. The Greenbrook acquisition demonstrated some existential flexibility, but its execution has been financially strained (Altman Z-Score of -3.31) and the cultural integration appears troubled. The company lacks evidence of infinite-minded competitive behavior or courageous long-term investment.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Neuronetics has a cause — expanding access to non-invasive mental health treatment — that is inherently meaningful and connects the company's work to something bigger than profit. The Optum/UHC TMS coverage expansion to nurse practitioners across 26 states demonstrates tangible progress toward that cause [2]. However, shareholder activism calling for 'strategic alternatives' and the company's persistent unprofitability suggest financial survival increasingly competes with the mission. Leadership does not consistently frame decisions through the lens of a Just Cause, and the cause reads more as a business case for TMS than a transformative vision of the future.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describe a low-trust environment with a culture and values rating of only 2.8/5 [4]. Multiple employee reviews cite 'toxic' culture, 'corrupt HR and leadership,' and poor career advancement. One review alleged management asks employees to post fake positive reviews. This evidence strongly suggests a fear-based rather than trust-based organizational culture that falls well below Sinek's Circle of Safety standard.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The company's competitive positioning focuses on defending NeuroStar's market share and installed base against other TMS device makers (BrainsWay, Magstim) without acknowledging competitors' strengths as motivation for self-improvement. The strategic posture is defensive and market-share oriented rather than growth-through-learning.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2024 Greenbrook TMS acquisition represented a meaningful strategic pivot from device manufacturer to vertically integrated treatment provider — a fundamental change in business model that combined hardware development with clinic operations [1]. This was a bold move that significantly changed the company's revenue composition and operational complexity. However, the pivot's execution has been financially strained (persistent losses, high leverage), and the acquisition-driven transformation was arguably motivated more by survival necessity than by a visionary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Greenbrook acquisition required leadership to accept near-term financial pain (doubling leverage, larger losses during integration) for long-term strategic positioning in the TMS market [1][3]. Management has maintained FY2026 guidance of $160-166M revenue despite shareholder pressure, and the path to adjusted EBITDA positivity in Q2 2026 ($0.3M) shows commitment to integration over quick fixes. However, there is no evidence of multiple courageous decisions or a pattern of choosing right over easy — the company's strategic flexibility appears opportunistic rather than principled.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Neuronetics is at an inflection point as its Greenbrook integration matures — Q2 2026 revenue of $41.6M (+9.1% YoY) and the first positive adjusted EBITDA quarter ($0.3M vs. -$5.6M prior year) demonstrate the vertically integrated TMS model is approaching profitability [1]. Full-year guidance of $160-166M represents continued high-single-digit growth. The Optum/UHC TMS coverage expansion to nurse practitioners across 26 states covering 34.8M lives meaningfully expands the addressable patient population [2]. NeuroStar's dominant installed base (~60% U.S. TMS market), FDA-cleared indications in MDD and OCD, and inherent AI resilience (physical medical device therapy) create defensive positioning in a growing mental health treatment market. The Inspire Impact Score of 49 (ALIGNED) reflects the company's inherent social benefit in treating mental health conditions.</w:t>
      </w:r>
    </w:p>
    <w:p>
      <w:pPr>
        <w:spacing w:after="120"/>
      </w:pPr>
      <w:r>
        <w:rPr>
          <w:rFonts w:ascii="Calibri" w:hAnsi="Calibri"/>
          <w:b w:val="0"/>
          <w:color w:val="3A4A28"/>
          <w:sz w:val="20"/>
        </w:rPr>
        <w:t>The bear case is severe: Neuronetics trades at a $120M market cap with $65.7M in debt against only $13.2M cash, an Altman Z-Score of -3.31 (distress zone), and persistent unprofitability (TTM net loss -$39M) [3]. The D/E ratio of 209.4% and negative ROE of -124% reflect a balance sheet under significant stress. Organic revenue growth of ~9% is modest for a growth-stage company carrying this level of leverage. Glassdoor reviews describing toxic culture and leadership dysfunction raise execution risk for the ongoing Greenbrook integration [4]. Shareholder activism calling for strategic alternatives signals potential forced transactions at distressed valuations. The stock price of ~$1.70 puts Neuronetics at micro-cap risk with limited institutional interest. While adjusted EBITDA turned positive, the path from $0.3M quarterly EBITDA to sustainable profitability and deleveraging remains long and uncertain.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Optum/UHC TMS policy expansion to psychiatric nurse practitioners across 26 states covering 34.8M lives could accelerate patient referral volumes and drive higher clinic utilization rates [2]</w:t>
      </w:r>
    </w:p>
    <w:p>
      <w:pPr>
        <w:spacing w:before="40" w:after="40"/>
        <w:ind w:left="283"/>
      </w:pPr>
      <w:r>
        <w:rPr>
          <w:rFonts w:ascii="Calibri" w:hAnsi="Calibri"/>
          <w:b/>
          <w:color w:val="4A6B25"/>
          <w:sz w:val="20"/>
        </w:rPr>
        <w:t xml:space="preserve">2. </w:t>
      </w:r>
      <w:r>
        <w:rPr>
          <w:rFonts w:ascii="Calibri" w:hAnsi="Calibri"/>
          <w:b w:val="0"/>
          <w:color w:val="3A4A28"/>
          <w:sz w:val="20"/>
        </w:rPr>
        <w:t>Continued margin improvement and EBITDA expansion — Q2 2026 adjusted EBITDA of $0.3M (vs. -$5.6M prior year) suggests the Greenbrook integration is yielding operating leverage that could compound through FY2027 [1]</w:t>
      </w:r>
    </w:p>
    <w:p>
      <w:pPr>
        <w:spacing w:before="40" w:after="40"/>
        <w:ind w:left="283"/>
      </w:pPr>
      <w:r>
        <w:rPr>
          <w:rFonts w:ascii="Calibri" w:hAnsi="Calibri"/>
          <w:b/>
          <w:color w:val="4A6B25"/>
          <w:sz w:val="20"/>
        </w:rPr>
        <w:t xml:space="preserve">3. </w:t>
      </w:r>
      <w:r>
        <w:rPr>
          <w:rFonts w:ascii="Calibri" w:hAnsi="Calibri"/>
          <w:b w:val="0"/>
          <w:color w:val="3A4A28"/>
          <w:sz w:val="20"/>
        </w:rPr>
        <w:t>Potential new TMS indications (PTSD, adolescent depression) could expand the addressable market and differentiate NeuroStar against competitive TMS platforms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Balance sheet fragility with D/E of 209.4%, only $13.2M cash, and an Altman Z-Score of -3.31 (distress zone) creates refinancing risk and limits the company's ability to invest in growth or weather an economic downturn [3]</w:t>
      </w:r>
    </w:p>
    <w:p>
      <w:pPr>
        <w:spacing w:before="40" w:after="40"/>
        <w:ind w:left="283"/>
      </w:pPr>
      <w:r>
        <w:rPr>
          <w:rFonts w:ascii="Calibri" w:hAnsi="Calibri"/>
          <w:b/>
          <w:color w:val="4A6B25"/>
          <w:sz w:val="20"/>
        </w:rPr>
        <w:t xml:space="preserve">2. </w:t>
      </w:r>
      <w:r>
        <w:rPr>
          <w:rFonts w:ascii="Calibri" w:hAnsi="Calibri"/>
          <w:b w:val="0"/>
          <w:color w:val="3A4A28"/>
          <w:sz w:val="20"/>
        </w:rPr>
        <w:t>Shareholder activism demanding 'strategic alternatives' review could force a dilutive capital raise, asset sale at distressed valuations, or management distraction from the Greenbrook integration at a critical juncture</w:t>
      </w:r>
    </w:p>
    <w:p>
      <w:pPr>
        <w:spacing w:before="40" w:after="40"/>
        <w:ind w:left="283"/>
      </w:pPr>
      <w:r>
        <w:rPr>
          <w:rFonts w:ascii="Calibri" w:hAnsi="Calibri"/>
          <w:b/>
          <w:color w:val="4A6B25"/>
          <w:sz w:val="20"/>
        </w:rPr>
        <w:t xml:space="preserve">3. </w:t>
      </w:r>
      <w:r>
        <w:rPr>
          <w:rFonts w:ascii="Calibri" w:hAnsi="Calibri"/>
          <w:b w:val="0"/>
          <w:color w:val="3A4A28"/>
          <w:sz w:val="20"/>
        </w:rPr>
        <w:t>Toxic internal culture evidenced by Glassdoor 2.8/5 rating and multiple negative employee reviews threatens execution quality during a complex multi-year integration that requires high organizational trust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Neuronetics' core business — delivering transcranial magnetic stimulation through a physical medical device in supervised clinical settings — has strong structural protection from AI disruption. TMS therapy requires FDA-cleared hardware, trained operators, and in-person patient visits; AI cannot replicate the physical delivery of electromagnetic pulses to brain tissue [1]. The regulatory environment (510(k) clearance, insurance pre-authorization requirements) creates additional barriers. However, AI-driven mental health alternatives (chatbot therapy, AI-guided CBT apps) could theoretically compete for mild-to-moderate depression patients on the referral funnel, and AI could accelerate drug discovery for competing pharmaceutical treatments, limiting the score below IMMUNE territory. AI Opportunity (0/1): No evidence of AI-generated revenue. The company has not deployed AI-powered treatment optimization, patient selection algorithms, or any other AI product with quantifiable revenue impact.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Neuronetics Q2 2026 Earnings — Revenue $41.6M (+9.1% YoY), Net Loss -$3.4M (-$0.05/share), Adjusted EBITDA $0.3M, FY2026 Guidance $160-166M, July 2026</w:t>
      </w:r>
    </w:p>
    <w:p>
      <w:pPr>
        <w:spacing w:before="20" w:after="20"/>
        <w:ind w:left="170"/>
      </w:pPr>
      <w:r>
        <w:rPr>
          <w:rFonts w:ascii="Calibri" w:hAnsi="Calibri"/>
          <w:b/>
          <w:color w:val="4A6B25"/>
          <w:sz w:val="15"/>
        </w:rPr>
        <w:t xml:space="preserve">2. </w:t>
      </w:r>
      <w:r>
        <w:rPr>
          <w:rFonts w:ascii="Calibri" w:hAnsi="Calibri"/>
          <w:b w:val="0"/>
          <w:color w:val="3A4A28"/>
          <w:sz w:val="17"/>
        </w:rPr>
        <w:t>Neuronetics Q1 2026 Earnings &amp; Optum TMS Coverage Expansion — Revenue $34.5M (+8%), UHC Policy Expanded to NPs in 26 States Covering 34.8M Lives, April 2026</w:t>
      </w:r>
    </w:p>
    <w:p>
      <w:pPr>
        <w:spacing w:before="20" w:after="20"/>
        <w:ind w:left="170"/>
      </w:pPr>
      <w:r>
        <w:rPr>
          <w:rFonts w:ascii="Calibri" w:hAnsi="Calibri"/>
          <w:b/>
          <w:color w:val="4A6B25"/>
          <w:sz w:val="15"/>
        </w:rPr>
        <w:t xml:space="preserve">3. </w:t>
      </w:r>
      <w:r>
        <w:rPr>
          <w:rFonts w:ascii="Calibri" w:hAnsi="Calibri"/>
          <w:b w:val="0"/>
          <w:color w:val="3A4A28"/>
          <w:sz w:val="17"/>
        </w:rPr>
        <w:t>SEC 10-Q Filing (June 30, 2026), StockAnalysis, Simply Wall St — D/E 209.4%, TTM Net Loss -$39M, Debt $65.7M, Cash $13.2M, Equity $31.4M, Altman Z-Score -3.31</w:t>
      </w:r>
    </w:p>
    <w:p>
      <w:pPr>
        <w:spacing w:before="20" w:after="20"/>
        <w:ind w:left="170"/>
      </w:pPr>
      <w:r>
        <w:rPr>
          <w:rFonts w:ascii="Calibri" w:hAnsi="Calibri"/>
          <w:b/>
          <w:color w:val="4A6B25"/>
          <w:sz w:val="15"/>
        </w:rPr>
        <w:t xml:space="preserve">4. </w:t>
      </w:r>
      <w:r>
        <w:rPr>
          <w:rFonts w:ascii="Calibri" w:hAnsi="Calibri"/>
          <w:b w:val="0"/>
          <w:color w:val="3A4A28"/>
          <w:sz w:val="17"/>
        </w:rPr>
        <w:t>Glassdoor Employee Reviews — Neuronetics Rating 2.8/5 Culture &amp; Values, Multiple Reviews Citing Toxic Culture and Leadership Dysfunction,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Sustainalytics ESG Risk Rating — Neuronetics Weak ESG Management,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