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STLA</w:t>
      </w:r>
      <w:r>
        <w:rPr>
          <w:rFonts w:ascii="Calibri" w:hAnsi="Calibri"/>
          <w:b/>
          <w:color w:val="1A2010"/>
          <w:sz w:val="40"/>
        </w:rPr>
        <w:t xml:space="preserve">  Stellantis N.V.</w:t>
      </w:r>
    </w:p>
    <w:p>
      <w:pPr>
        <w:spacing w:after="120"/>
      </w:pPr>
      <w:r>
        <w:rPr>
          <w:rFonts w:ascii="Calibri" w:hAnsi="Calibri"/>
          <w:b/>
          <w:color w:val="6E8450"/>
          <w:sz w:val="18"/>
        </w:rPr>
        <w:t>GROWTH SLEEVE · 2026-10-08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NYQ · Netherlands</w:t>
      </w:r>
    </w:p>
    <w:p>
      <w:pPr>
        <w:spacing w:after="80"/>
      </w:pPr>
      <w:r>
        <w:rPr>
          <w:rFonts w:ascii="Calibri" w:hAnsi="Calibri"/>
          <w:b w:val="0"/>
          <w:color w:val="3A4A28"/>
          <w:sz w:val="20"/>
        </w:rPr>
        <w:t>Stellantis N.V. is a transatlantic automaker formed from the 2021 merger of Fiat Chrysler and PSA Group, operating a 14-brand portfolio including Jeep, Ram, Chrysler, Dodge, Peugeot, Fiat, Citroen, Alfa Romeo, Maserati, and Opel. After a EUR 22.3 billion net loss in FY2025 — its first annual loss since the merger — tied to a EUR 25.4 billion EV-related write-down and a dividend suspension, new CEO Antonio Filosa (installed mid-2025 after Carlos Tavares's ouster in December 2024) has launched a turnaround plan committing over $13B in U.S. investment over four years [1]. Q1 2026 showed early progress with revenue of EUR 38.1B (+6% YoY) and net profit of EUR 377M versus a EUR 387M loss a year earlier [1]. Headquartered in Hoofddorp, Netherlands, with approximately 258,668 employees and a market capitalization of $17.4B.</w:t>
      </w:r>
    </w:p>
    <w:p>
      <w:r>
        <w:rPr>
          <w:rFonts w:ascii="Calibri" w:hAnsi="Calibri"/>
          <w:b/>
          <w:color w:val="6E8450"/>
          <w:sz w:val="18"/>
        </w:rPr>
        <w:t>258,668 Employees · https://www.stellantis.com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Stellantis is mid-turnaround rather than mid-success — the company absorbed a EUR 22.3B net loss in FY2025 after CEO Filosa acknowledged the company 'overestimated the pace of the energy transition,' the former CEO was ousted, and the dividend was suspended [1]. While the merger itself created the world's fourth-largest automaker, execution has been troubled since. AI Deployment (1/2): AI is deployed internally with quantified engineering gains — simulation accelerated up to 300x and software productivity up approximately 37% via code generation — through expanded partnerships with Palantir (five-year AIP expansion, March 2026) and Microsoft (100+ AI tools for customer support, predictive maintenance, and cybersecurity, April 2026) [2]. However, no AI-powered products are shipping to customers yet. Market Share (0/2): Stellantis has been losing market share, particularly in North America, with management explicitly acknowledging the company 'lost its way' in key markets — share erosion rather than leadership [1]. Product Pipeline (2/2): The turnaround plan commits over $13B in U.S. investment, with 10 new product launches, the STLA AutoDrive autonomous platform targeting 2028, and partnerships with NVIDIA, Qualcomm, Leapmotor (China), Uber, and Pony.ai providing specific timelines and investment visibility [2]. R&amp;D Intensity (0/1): No R&amp;D-to-revenue percentage relative to auto industry peers was disclosed in available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Stellantis frames its purpose around 'freedom of movement' and building sustainable mobility solutions, which identifies the company's role but reads as fairly generic mobility-industry language [2]. The past year's strategic reversal on EV commitments raises questions about consistency of purpose. Community Impact (0/2): No evidence of distinctive charitable giving or community investment programs was found in available research. Employee Retention (0/2): The executive leadership team was cut roughly in half under new CEO Filosa, multiple senior executives departed in 2025-2026, and the company is mid-restructuring — indicating organizational instability rather than retention strength [1]. Insider Buying (0/2): No evidence of meaningful net insider buying was identified in available research; recent insider transactions are minimal with no conviction signal from management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84.4% modestly exceeds the 70% target (score 0.94), while ROE of -28.7% and TTM profit margin of -12.1% both floor at 0.0 given the deeply negative profitability from the FY2025 EUR 22.3B loss [1]. Revenue growth YoY of 13.1% exceeds the 10% target (score 1.0), reflecting the early-stage turnaround with Q1 2026 revenue up 6% YoY. However, the 4-year revenue CAGR of approximately -2.7% (from $179.6B in 2022 to $160.9B TTM) scores only 0.15, capturing the multi-year revenue decline that preceded the 2026 recovery. Forward P/E of 3.64 is attractively below the 20 target (score 1.0), reflecting both depressed valuation and expected earnings normalization. Forward PEG of 0.82 scores at the 1.0 cap (2x weight), though this reflects a loss-to-profit turnaround base effect. Daily dollar volume of $107.5M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Stellantis under new CEO Antonio Filosa is attempting a genuine reset after a year defined by finite-game consequences — an over-aggressive EV push driven more by regulatory targets and competitive pressure than a durable Just Cause, resulting in a EUR 22.3B loss, dividend suspension, and abandoned technology investments. The honest public admission that the company 'lost its way' and the willingness to take the full financial hit upfront are encouraging signals, but the halved executive team, North American market share erosion, and organizational instability remain clear finite-game red flags.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Stellantis's 'freedom of movement' framing is a functional but largely interchangeable auto-industry mission, and the company's own admission that it overestimated the EV transition pace suggests recent strategy was driven by competitive positioning and regulatory targets rather than a deeply held, consistently executed cause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executive leadership team was cut roughly in half under CEO Filosa with multiple brand-CEO roles removed, the former CEO was ousted in December 2024 amid board disagreements, and the company is in the midst of significant organizational upheaval across a 258,668-person workforce [1]. This pattern of instability conflicts with Sinek's Circle of Safety ideal.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Stellantis is pursuing autonomous-driving and AI capabilities through strategic partnerships with NVIDIA, Qualcomm, Palantir, Microsoft, Applied Intuition, Uber, Pony.ai, Leapmotor, and Mistral AI rather than attempting to build every capability internally [2]. This collaborate-and-learn posture toward technology leaders reflects an acknowledgment of others'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public reversal from an aggressive all-EV strategy back toward a balanced ICE/hybrid/EV portfolio, paired with the EUR 25.4B restructuring charge, represents a real strategic correction — willingness to abandon a committed direction when it proved wrong [1][2]. However, this reads more as a reactive course-correction from a failed bet than a proactive,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Filosa's willingness to take the full EUR 22B write-down, suspend the dividend, and publicly admit the company 'overestimated the pace of the energy transition' rather than obscuring the miss demonstrates a real instance of prioritizing long-term correction over short-term optics [1]. The $13B U.S. investment commitment represents a significant bet on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Stellantis at $4.61 with a $17.4B market cap is a deeply discounted early-stage turnaround trading at just 3.64x forward earnings and 0.21x book value after FY2025's EUR 22.3B net loss, dividend suspension, and CEO ouster [1]. Q1 2026 shows the reset gaining traction — revenue of EUR 38.1B (+6% YoY), a return to net profit of EUR 377M versus a EUR 387M loss a year earlier, and adjusted operating income of EUR 960M [1]. CEO Filosa's turnaround plan commits $13B to U.S. investment over four years, is launching 10 new products, and has formed AI partnerships with Palantir, Microsoft, NVIDIA, and Leapmotor (China entry), providing multiple execution vectors [2]. The forward PEG of 0.82 reflects extreme valuation compression, and if the company can normalize to even a low-single-digit operating margin, significant upside exists from current levels.</w:t>
      </w:r>
    </w:p>
    <w:p>
      <w:pPr>
        <w:spacing w:after="120"/>
      </w:pPr>
      <w:r>
        <w:rPr>
          <w:rFonts w:ascii="Calibri" w:hAnsi="Calibri"/>
          <w:b w:val="0"/>
          <w:color w:val="3A4A28"/>
          <w:sz w:val="20"/>
        </w:rPr>
        <w:t>The bear case centers on execution risk and organizational instability during an unfinished turnaround. Trailing profitability remains deeply negative (ROE -28.7%, profit margin -12.1%) and the 4-year revenue CAGR of -2.7% reflects years of decline preceding the current recovery [1]. Stellantis already demonstrated a costly execution failure by abandoning its Level 3 AutoDrive technology after billions in spending, raising questions about the credibility of the newly announced 2028 STLA AutoDrive timeline [2]. The executive team was cut roughly in half, the dividend is suspended, and the company plans to raise EUR 5B through hybrid bonds, adding financial complexity to the capital structure. North American market share continues to erode, analysts remain skeptical (Citi called Q1 numbers 'very messy'), and tariff headwinds are estimated at EUR 1.0-1.2B for 2026 [1]. The Inspire Impact Score of -49 (MISALIGNED) may limit allocation for faith-based investors. Given the unproven nature of the turnaround and the finite-game organizational history, a WATCH rating reflects appropriate caution pending several more quarters of consistent profitability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sequential profitability improvement following Q1 2026's return to net profit (EUR 377M vs EUR 387M loss a year earlier), with 2026 guidance targeting mid-single-digit revenue growth and low-single-digit adjusted operating income margin [1]</w:t>
      </w:r>
    </w:p>
    <w:p>
      <w:pPr>
        <w:spacing w:before="40" w:after="40"/>
        <w:ind w:left="283"/>
      </w:pPr>
      <w:r>
        <w:rPr>
          <w:rFonts w:ascii="Calibri" w:hAnsi="Calibri"/>
          <w:b/>
          <w:color w:val="4A6B25"/>
          <w:sz w:val="20"/>
        </w:rPr>
        <w:t xml:space="preserve">2. </w:t>
      </w:r>
      <w:r>
        <w:rPr>
          <w:rFonts w:ascii="Calibri" w:hAnsi="Calibri"/>
          <w:b w:val="0"/>
          <w:color w:val="3A4A28"/>
          <w:sz w:val="20"/>
        </w:rPr>
        <w:t>10 new product launches and $13B U.S. investment plan execution, including the Leapmotor partnership for China market entry and expanded AI deployment through Palantir and Microsoft collaborations [2]</w:t>
      </w:r>
    </w:p>
    <w:p>
      <w:pPr>
        <w:spacing w:before="40" w:after="40"/>
        <w:ind w:left="283"/>
      </w:pPr>
      <w:r>
        <w:rPr>
          <w:rFonts w:ascii="Calibri" w:hAnsi="Calibri"/>
          <w:b/>
          <w:color w:val="4A6B25"/>
          <w:sz w:val="20"/>
        </w:rPr>
        <w:t xml:space="preserve">3. </w:t>
      </w:r>
      <w:r>
        <w:rPr>
          <w:rFonts w:ascii="Calibri" w:hAnsi="Calibri"/>
          <w:b w:val="0"/>
          <w:color w:val="3A4A28"/>
          <w:sz w:val="20"/>
        </w:rPr>
        <w:t>Extreme valuation at 3.64x forward P/E and 0.21x book value provides significant upside leverage if operating margins normalize — even a 3% operating margin on $160B+ revenue would generate substantial earnings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Unproven turnaround execution risk given the company's recent abandonment of its Level 3 AutoDrive program after billions in spending, CEO ouster, and 14-brand organizational complexity that analysts describe as 'very messy' [1][2]</w:t>
      </w:r>
    </w:p>
    <w:p>
      <w:pPr>
        <w:spacing w:before="40" w:after="40"/>
        <w:ind w:left="283"/>
      </w:pPr>
      <w:r>
        <w:rPr>
          <w:rFonts w:ascii="Calibri" w:hAnsi="Calibri"/>
          <w:b/>
          <w:color w:val="4A6B25"/>
          <w:sz w:val="20"/>
        </w:rPr>
        <w:t xml:space="preserve">2. </w:t>
      </w:r>
      <w:r>
        <w:rPr>
          <w:rFonts w:ascii="Calibri" w:hAnsi="Calibri"/>
          <w:b w:val="0"/>
          <w:color w:val="3A4A28"/>
          <w:sz w:val="20"/>
        </w:rPr>
        <w:t>Balance sheet strain with D/E of 84.4%, deeply negative ROE (-28.7%), suspended dividend, and plans for EUR 5B in hybrid bond issuance add financial risk if the top-line recovery stalls or tariff headwinds (EUR 1.0-1.2B estimated for 2026) worsen [1]</w:t>
      </w:r>
    </w:p>
    <w:p>
      <w:pPr>
        <w:spacing w:before="40" w:after="40"/>
        <w:ind w:left="283"/>
      </w:pPr>
      <w:r>
        <w:rPr>
          <w:rFonts w:ascii="Calibri" w:hAnsi="Calibri"/>
          <w:b/>
          <w:color w:val="4A6B25"/>
          <w:sz w:val="20"/>
        </w:rPr>
        <w:t xml:space="preserve">3. </w:t>
      </w:r>
      <w:r>
        <w:rPr>
          <w:rFonts w:ascii="Calibri" w:hAnsi="Calibri"/>
          <w:b w:val="0"/>
          <w:color w:val="3A4A28"/>
          <w:sz w:val="20"/>
        </w:rPr>
        <w:t>Structural autonomous driving and EV transition risk — Stellantis is now dependent on external technology partners (NVIDIA, Qualcomm, Palantir, Pony.ai) rather than proprietary capability after its internal AutoDrive effort failed, creating execution dependency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Stellantis's core business — physical vehicle design, manufacturing, and distribution across 14 brands — is not directly substitutable by AI, and the company is actively deploying AI internally for engineering efficiency (300x faster simulation, 37% productivity gain in code generation) through partnerships with Palantir and Microsoft [2]. However, autonomous driving represents a genuine long-term structural risk to the traditional automaker model, and Stellantis's own abandonment of its Level 3 AutoDrive program after billions in spending demonstrates real execution risk in AI-adjacent capabilities. The company now pursues autonomy through external partnerships (NVIDIA, Applied Intuition, Pony.ai, Uber) rather than proprietary technology — a defensive but viable posture. AI Opportunity (0/1): No specific AI-attributable revenue figure was disclosed; AI use is currently limited to internal engineering and operational efficiency rather than a monetized customer-facing product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Stellantis FY2025 Results and Q1 2026 Earnings — FY2025 Net Loss EUR 22.3B, EUR 25.4B EV Write-Down, Dividend Suspended; Q1 2026 Revenue EUR 38.1B (+6% YoY), Net Profit EUR 377M, AOI EUR 960M — SEC 6-K Filing, IndustryWeek, NeoFeed, CardDealerMagazine, Yahoo Finance, February-May 2026</w:t>
      </w:r>
    </w:p>
    <w:p>
      <w:pPr>
        <w:spacing w:before="20" w:after="20"/>
        <w:ind w:left="170"/>
      </w:pPr>
      <w:r>
        <w:rPr>
          <w:rFonts w:ascii="Calibri" w:hAnsi="Calibri"/>
          <w:b/>
          <w:color w:val="4A6B25"/>
          <w:sz w:val="15"/>
        </w:rPr>
        <w:t xml:space="preserve">2. </w:t>
      </w:r>
      <w:r>
        <w:rPr>
          <w:rFonts w:ascii="Calibri" w:hAnsi="Calibri"/>
          <w:b w:val="0"/>
          <w:color w:val="3A4A28"/>
          <w:sz w:val="17"/>
        </w:rPr>
        <w:t>Stellantis AI Strategy and Turnaround Plan — Palantir 5-Year AIP Expansion, Microsoft 100+ AI Tools, NVIDIA/Qualcomm/Leapmotor/Uber/Pony.ai Partnerships, $13B U.S. Investment, 300x Simulation Acceleration — Bloomberg, MarkLines, b360nepal, FinancialContent, 2026</w:t>
      </w:r>
    </w:p>
    <w:p>
      <w:pPr>
        <w:spacing w:before="20" w:after="20"/>
        <w:ind w:left="170"/>
      </w:pPr>
      <w:r>
        <w:rPr>
          <w:rFonts w:ascii="Calibri" w:hAnsi="Calibri"/>
          <w:b/>
          <w:color w:val="4A6B25"/>
          <w:sz w:val="15"/>
        </w:rPr>
        <w:t xml:space="preserve">3. </w:t>
      </w:r>
      <w:r>
        <w:rPr>
          <w:rFonts w:ascii="Calibri" w:hAnsi="Calibri"/>
          <w:b w:val="0"/>
          <w:color w:val="3A4A28"/>
          <w:sz w:val="17"/>
        </w:rPr>
        <w:t>Stellantis Insider Activity and Dividends — Dividend Suspended for 2026, No Net Insider Buying, EUR 5B Hybrid Bond Planned, Payout Policy 25-30% of Net Profit — Barchart, OraFinanza, InsiderTrades,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