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7232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7232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</w:pPr>
      <w:r>
        <w:rPr>
          <w:rFonts w:ascii="Calibri" w:hAnsi="Calibri"/>
          <w:b/>
          <w:color w:val="4A6B25"/>
          <w:sz w:val="56"/>
        </w:rPr>
        <w:t>STLD</w:t>
      </w:r>
      <w:r>
        <w:rPr>
          <w:rFonts w:ascii="Calibri" w:hAnsi="Calibri"/>
          <w:b/>
          <w:color w:val="1A2010"/>
          <w:sz w:val="40"/>
        </w:rPr>
        <w:t xml:space="preserve">  Steel Dynamics, Inc.</w:t>
      </w:r>
    </w:p>
    <w:p>
      <w:pPr>
        <w:spacing w:after="120"/>
      </w:pPr>
      <w:r>
        <w:rPr>
          <w:rFonts w:ascii="Calibri" w:hAnsi="Calibri"/>
          <w:b/>
          <w:color w:val="6E8450"/>
          <w:sz w:val="18"/>
        </w:rPr>
        <w:t>DIVIDEND SLEEVE · 2026-08-29 · Inspire: 50 · MIXED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1200" w:type="dxa"/>
      </w:tblPr>
      <w:tblGrid>
        <w:gridCol w:w="10800"/>
      </w:tblGrid>
      <w:tr>
        <w:tc>
          <w:tcPr>
            <w:tcW w:type="dxa" w:w="10800"/>
            <w:shd w:fill="FFF8E1" w:val="clea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D97706"/>
                <w:sz w:val="20"/>
              </w:rPr>
              <w:t>HOLD</w:t>
            </w:r>
          </w:p>
        </w:tc>
      </w:tr>
    </w:tbl>
    <w:p>
      <w:pPr>
        <w:spacing w:before="120" w:after="200"/>
      </w:pPr>
      <w:r>
        <w:rPr>
          <w:rFonts w:ascii="Calibri" w:hAnsi="Calibri"/>
          <w:b/>
          <w:color w:val="1A2010"/>
          <w:sz w:val="80"/>
        </w:rPr>
        <w:t>72</w:t>
      </w:r>
      <w:r>
        <w:rPr>
          <w:rFonts w:ascii="Calibri" w:hAnsi="Calibri"/>
          <w:b w:val="0"/>
          <w:color w:val="9DAF88"/>
          <w:sz w:val="28"/>
        </w:rPr>
        <w:t xml:space="preserve"> / </w:t>
      </w:r>
      <w:r>
        <w:rPr>
          <w:rFonts w:ascii="Calibri" w:hAnsi="Calibri"/>
          <w:b w:val="0"/>
          <w:color w:val="9DAF88"/>
          <w:sz w:val="24"/>
        </w:rPr>
        <w:t>100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COMPANY PROFILE</w:t>
            </w:r>
          </w:p>
        </w:tc>
      </w:tr>
    </w:tbl>
    <w:p>
      <w:r>
        <w:rPr>
          <w:rFonts w:ascii="Calibri" w:hAnsi="Calibri"/>
          <w:b/>
          <w:color w:val="6E8450"/>
          <w:sz w:val="18"/>
        </w:rPr>
        <w:t>Basic Materials · Steel · NASDAQ · United States</w:t>
      </w:r>
    </w:p>
    <w:p>
      <w:pPr>
        <w:spacing w:after="80"/>
      </w:pPr>
      <w:r>
        <w:rPr>
          <w:rFonts w:ascii="Calibri" w:hAnsi="Calibri"/>
          <w:b w:val="0"/>
          <w:color w:val="3A4A28"/>
          <w:sz w:val="20"/>
        </w:rPr>
        <w:t>Steel Dynamics is the third-largest carbon steel producer in the United States with over 13 million tons of annual steelmaking capacity. The company operates through four segments: Steel Operations, Metals Recycling, Steel Fabrication, and Aluminum Operations. Its electric arc furnace (EAF) mini-mill model produces steel from recycled scrap, serving construction, automotive, energy, and industrial end markets. Founded by Mark Millett in 1993; Theresa Wagler becomes CEO effective January 1, 2027, with Millett transitioning to Executive Chairman.</w:t>
      </w:r>
    </w:p>
    <w:p>
      <w:r>
        <w:rPr>
          <w:rFonts w:ascii="Calibri" w:hAnsi="Calibri"/>
          <w:b/>
          <w:color w:val="6E8450"/>
          <w:sz w:val="18"/>
        </w:rPr>
        <w:t>14,400 Employees · https://www.steeldynamics.com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EXCELLENCE EVALUATION — THINK LIKE AN OWNER (50%)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Innovation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B8860B"/>
          <w:sz w:val="16"/>
        </w:rPr>
        <w:t xml:space="preserve"> DEVELOPING 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Track Record (2/3): Steel Dynamics delivered consecutive record quarters in H1 2026 — Q2 achieved record steel shipments of 3.7M tons with $6.09B revenue and $534M net income, following Q1's 3.6M ton record [1][2]. The $2.7B greenfield aluminum flat-rolled operation in Columbus, Mississippi is ramping with qualified products for automotive, beverage can, and industrial customers. AI Deployment (0/2): No evidence of AI-powered products or quantified AI-driven cost savings; the company focuses on operational technology and EAF process optimization. Barry Schneider's appointment as CTO targets process innovation and decarbonization rather than AI product development [3]. Market Share (2/2): STLD is the third-largest U.S. carbon steel producer and a top-three metals recycler in North America, with category leadership in steel joists and deck fabrication; consecutive record quarterly shipments demonstrate continued share gains [1][2]. Product Pipeline (1/2): BIOEDGE and EDGE lower-embodied-carbon steel products, aluminum flat-rolled ramp targeting persistent domestic supply deficit enhanced by tariffs, and $600M in 2026 capex directed at high-return growth including advanced scrap separation technology [1][2]. R&amp;D Intensity (1/1): Above-peer investment in EAF steelmaking technology, advanced scrap separation, and process innovation; new CTO role signals increased commitment to technology development [3].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Inspiration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B8860B"/>
          <w:sz w:val="16"/>
        </w:rPr>
        <w:t xml:space="preserve"> DEVELOPING 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4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2205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307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Mission Floor (2/4): Steel Dynamics' foundational principles emphasize 'safety, performance, innovation — and always placing people first' with a mission to be the 'highest quality, lowest cost, most profitable metals-based solutions company in North America' — clear and operationally specific but fundamentally about competitive positioning rather than a deeper purpose beyond profit [4]. Community Impact (1/2): Named one of IBD's 100 Best ESG Companies — the only U.S. steel producer recognized — with 'Intentionally Sustainable' branding and BIOEDGE/EDGE lower-carbon products demonstrating environmental commitment, though specific charitable dollar amounts are not prominently disclosed [5]. Employee Retention (1/2): CEO Mark Millett's Comparably approval rating is in the Top 5% of similar-sized companies, with 105 employees giving leadership an A+ grade; the decentralized operational model rewards teamwork, innovation, and operating efficiency, though specific turnover or tenure data is not publicly available [3]. Insider Buying (0/2): Net insider selling of $6.4M over the past 12 months — SVP Alvarez sold $1.09M in April 2026, Director Cornew sold $1.12M, and multiple senior executives have been reducing positions even as the stock reached new highs [6].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Infrastructure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16A34A"/>
          <w:sz w:val="16"/>
        </w:rPr>
        <w:t xml:space="preserve"> STRONG 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9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4961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551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Mechanically scored on available metrics. Q2 2026 delivered record results with $6.09B revenue, $534M net income, and $3.69 EPS — significantly beating the $3.51-$3.55 guidance and representing record steel shipments of 3.7M tons [2][8]. H1 2026 operating income increased 88% versus the prior year. D/E of 44.4% is conservatively below the 70% target. ROE improved to 17.6% on stronger earnings, well above the 15% target. Forward P/E of 13.0 remains attractive for a cyclical recovery story. Revenue growth YoY of approximately 20% driven by higher pricing and record shipments. 22 consecutive years of dividend payments with 13 consecutive years of growth at approximately 14.9% 5yr CAGR demonstrate exceptional dividend sustainability, reinforced by a Q1 2026 dividend increase of 6% to $0.53/quarter [7][8]. Payout ratio of 22% provides substantial room for continued increases. Profit margin of 7.8% is the main drag — typical for steel but well below the 20% target. Liquidity floor cleared: ~1.37M avg volume x $210 = $287M daily [7].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FINITE VS INFINITE GAME — SINEK (25%)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Mindset: </w:t>
      </w:r>
      <w:r>
        <w:rPr>
          <w:rFonts w:ascii="Calibri" w:hAnsi="Calibri"/>
          <w:b/>
          <w:color w:val="B8860B"/>
          <w:sz w:val="22"/>
        </w:rPr>
        <w:t>MIXED</w:t>
      </w:r>
      <w:r>
        <w:rPr>
          <w:rFonts w:ascii="Calibri" w:hAnsi="Calibri"/>
          <w:b w:val="0"/>
          <w:color w:val="6E8450"/>
          <w:sz w:val="22"/>
        </w:rPr>
        <w:t xml:space="preserve">      Overall: </w:t>
      </w:r>
      <w:r>
        <w:rPr>
          <w:rFonts w:ascii="Calibri" w:hAnsi="Calibri"/>
          <w:b/>
          <w:color w:val="16A34A"/>
          <w:sz w:val="28"/>
        </w:rPr>
        <w:t>7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p>
      <w:pPr>
        <w:spacing w:after="120"/>
      </w:pPr>
      <w:r>
        <w:rPr>
          <w:rFonts w:ascii="Calibri" w:hAnsi="Calibri"/>
          <w:b w:val="0"/>
          <w:color w:val="3A4A28"/>
          <w:sz w:val="18"/>
        </w:rPr>
        <w:t>Steel Dynamics under founder-CEO Mark Millett plays a predominantly infinite game — the company has consistently reinvested in growth through steel cycles, committed $2.7B to enter aluminum (an entirely new product category), and maintained a decentralized culture of entrepreneurship that empowers teams. The Top 5% CEO approval and A+ leadership grades signal genuine trust. However, the mission remains anchored in competitive positioning ('lowest cost, most profitable') rather than a transcendent Just Cause.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Just Cause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4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2205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307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Just Cause (1/3): Steel Dynamics' purpose centers on being the 'highest quality, lowest cost, most profitable metals-based solutions company' — this is a competitive goal, not a Just Cause in Sinek's framework [4]. While the company's 'Intentionally Sustainable' emphasis and commitment to circular manufacturing through recycled scrap add genuine depth, and the BIOEDGE/EDGE lower-carbon products reflect environmental values, the core mission is about operational excellence and profitability rather than a vision of a future state that invites sacrifice.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Trusting Teams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10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5512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0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Trusting Teams (2/2): Steel Dynamics' decentralized operational model is a textbook example of Sinek's Circle of Safety — individual mills operate with significant autonomy, and performance-based compensation aligns incentives at every level [3]. CEO Millett's Top 5% Comparably approval rating and the company's A+ leadership grade from 105 employees signal genuine trust and empowerment. The culture emphasizes 'energetic, positive, driven, innovative, and diverse individuals' with decentralized decision-making and responsibility. Founder Millett's 30+ year presence provides leadership continuity that fosters psychological safety [3].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Worthy Rivals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10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5512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0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Worthy Rivals (1/1): Steel Dynamics competes against Nucor and Cleveland-Cliffs with a mindset focused on improving its own operational efficiency and technology rather than destroying competitors [1]. Management commentary consistently emphasizes internal metrics — lowest cost, highest quality, safest operations — rather than competitor takedowns. The aluminum expansion was driven by identifying a domestic supply gap, not by attacking incumbent aluminum producers. The company's competitive language is about self-improvement, not conquest.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Existential Flexibility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Existential Flexibility (1/2): The $2.7B greenfield aluminum flat-rolled investment represents meaningful strategic evolution — a steel company entering an entirely new metal category to capture a domestic supply deficit [2]. The Sinton mega-mill and metals recycling vertical integration also show willingness to evolve. BIOEDGE/EDGE products represent a pivot toward lower-carbon steelmaking. However, these are extensions of core metals competency rather than the transformative reinvention Sinek describes — the company adapts and expands within its domain but has not fundamentally reimagined its identity.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Courage To Lead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10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5512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0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Courage to Lead (2/2): Steel Dynamics has demonstrated a pattern of courageous long-term bets through multiple steel cycles — committing $2.7B to a greenfield aluminum operation during uncertain markets, building and ramping the Sinton flat-rolled mega-mill despite costly startup challenges, and maintaining $600M in 2026 capex while returning over $900M to shareholders through buybacks [1][2]. Relocating the planned aluminum satellite facility from Arizona to Mississippi — absorbing a $16M write-down — shows willingness to make tough calls that prioritize long-term economics over short-term optics [2]. Founder-CEO Millett's pattern of countercyclical investment reflects genuine long-term conviction.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INVESTMENT THESIS</w:t>
            </w:r>
          </w:p>
        </w:tc>
      </w:tr>
    </w:tbl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Steel Dynamics delivered a record Q2 2026 with $6.09B revenue and $3.69 EPS — significantly beating the $3.51-$3.55 guidance — on record steel shipments of 3.7M tons, while H1 2026 operating income surged 88% versus the prior year [2][8]. At 13x forward P/E with a fortress balance sheet (44.4% D/E), 22 consecutive years of dividends growing at ~15% 5yr CAGR with a low 22% payout ratio, and the $2.7B aluminum flat-rolled operation ramping into a persistent domestic supply deficit enhanced by tariffs, STLD offers compelling cyclical value [7]. ROE has improved to 17.6% on stronger earnings, well above the 15% target. The CEO transition from founder Millett (to Executive Chairman) to 28-year veteran Theresa Wagler (current CFO, CEO effective January 1, 2027) signals deep bench strength and continuity rather than disruption [3]. The fabrication backlog — driven by data center, warehouse, and healthcare construction — provides multi-quarter earnings visibility.</w:t>
      </w:r>
    </w:p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The bear case centers on steel's inherent cyclicality and margin vulnerability. Profit margin of 7.8% is thin, and STLD's earnings swing dramatically with steel prices — FY2025 net income fell 20% to $1.2B from $1.5B in FY2024 despite record shipments, as average selling prices compressed [1]. Trade policy risk is elevated: while current tariffs benefit domestic producers, policy reversals could flood the market with cheap imports and compress pricing power. The aluminum ramp carries execution risk — the Sinton facility had costly startup issues in 2022-2023, and the $16M Arizona-to-Mississippi relocation write-down signals planning challenges. The CEO transition from founder Millett to Wagler, while internally smooth, introduces leadership change risk at a time of record performance — execution continuity through the transition is not guaranteed [3]. Net insider selling of $6.4M across senior management signals those closest to the business may see limited near-term upside [6]. A construction downturn driven by higher interest rates could deflate the fabrication backlog that underpins the bull thesis.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CATALYSTS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Record Q2 2026 results ($3.69 EPS beating $3.51-$3.55 guidance, record 3.7M ton shipments) with H1 2026 operating income up 88% YoY, demonstrating strong earnings momentum heading into H2 [2][8]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Aluminum flat-rolled division ramping into a persistent domestic supply deficit enhanced by tariffs, providing significant through-cycle EBITDA diversification beyond cyclical steel operations [1]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BIOEDGE and EDGE lower-embodied-carbon steel products capturing sustainability premium as construction and automotive customers face increasing scope 3 emissions scrutiny [1]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DC2626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RISKS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Steel price cyclicality — profit margin of 7.22% is thin and earnings can swing 20%+ year-to-year with steel price cycles, as demonstrated by the FY2024-to-FY2025 earnings decline despite record volumes [1]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Trade policy reversal risk — tariff rollbacks or new trade agreements could expose STLD to cheaper imported steel and aluminum, compressing domestic pricing power that drives current margin expansion [2]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Net insider selling of $6.4M across senior management in the past 12 months despite strong earnings trajectory may signal limited near-term upside from current elevated levels [6]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AI RESILIENCE (25%)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AI Resilience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16A34A"/>
          <w:sz w:val="16"/>
        </w:rPr>
        <w:t xml:space="preserve"> LOW RISK 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9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4961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551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AI Risk Protection (8/9): Steel production is a fundamentally physical-world, capital-intensive industrial process that AI structurally cannot displace — melting scrap metal in electric arc furnaces, rolling steel, and fabricating structural components requires massive equipment, metallurgical expertise, and proximity to end markets [1]. STLD's EAF mini-mill model is already the most technologically advanced steelmaking process, and vertically integrated scrap recycling creates barriers AI cannot replicate. AI-driven demand for data centers directly benefits STLD through increased structural steel and fabrication orders — the fabrication backlog extended significantly with data center construction as a key driver [2]. Analysts see zero substitution risk for the core business. AI Opportunity (1/1): STLD generates indirect AI-related revenue through steel and fabrication products sold into data center construction, one of the company's fastest-growing end markets, with fabrication backlog supported by data center, warehouse, and healthcare construction demand [2].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FAITH ALIGNMENT — INSPIRE INSIGHT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Inspire Impact Score:  </w:t>
      </w:r>
      <w:r>
        <w:rPr>
          <w:rFonts w:ascii="Calibri" w:hAnsi="Calibri"/>
          <w:b/>
          <w:color w:val="16A34A"/>
          <w:sz w:val="28"/>
        </w:rPr>
        <w:t>50</w:t>
      </w:r>
      <w:r>
        <w:rPr>
          <w:rFonts w:ascii="Calibri" w:hAnsi="Calibri"/>
          <w:b/>
          <w:color w:val="B8860B"/>
          <w:sz w:val="20"/>
        </w:rPr>
        <w:t xml:space="preserve">    ALIGNED</w:t>
      </w:r>
    </w:p>
    <w:p>
      <w:pPr>
        <w:spacing w:before="80" w:after="40"/>
      </w:pPr>
      <w:r>
        <w:rPr>
          <w:rFonts w:ascii="Calibri" w:hAnsi="Calibri"/>
          <w:b/>
          <w:color w:val="6E8450"/>
          <w:sz w:val="18"/>
        </w:rPr>
        <w:t xml:space="preserve">Positive: </w:t>
      </w:r>
      <w:r>
        <w:rPr>
          <w:rFonts w:ascii="Calibri" w:hAnsi="Calibri"/>
          <w:b/>
          <w:color w:val="16A34A"/>
          <w:sz w:val="17"/>
        </w:rPr>
        <w:t xml:space="preserve"> Business Resilience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Employee Wellbeing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Energy Management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Environmental Risk Mitigation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Ethical Supply Chain Management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GHG Emissions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Hiring Ethics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Low Ecological Impact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Materials Efficiency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Product Access and Affordability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Product Safety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Product Sustainability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Regulatory Adherence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Waste and Hazmat Management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Water Conservation </w:t>
      </w:r>
    </w:p>
    <w:p>
      <w:pPr>
        <w:spacing w:before="120"/>
      </w:pPr>
      <w:r>
        <w:rPr>
          <w:rFonts w:ascii="Calibri" w:hAnsi="Calibri"/>
          <w:b w:val="0"/>
          <w:color w:val="9DAF88"/>
          <w:sz w:val="15"/>
        </w:rPr>
        <w:t>Source: Inspire Insight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RESOURCES</w:t>
            </w:r>
          </w:p>
        </w:tc>
      </w:tr>
    </w:tbl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1. </w:t>
      </w:r>
      <w:r>
        <w:rPr>
          <w:rFonts w:ascii="Calibri" w:hAnsi="Calibri"/>
          <w:b w:val="0"/>
          <w:color w:val="3A4A28"/>
          <w:sz w:val="17"/>
        </w:rPr>
        <w:t>Steel Dynamics Q1 2026 Earnings Release — $5.2B net sales (+19% YoY), $2.78 EPS, record 3.6M ton steel shipments, April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2. </w:t>
      </w:r>
      <w:r>
        <w:rPr>
          <w:rFonts w:ascii="Calibri" w:hAnsi="Calibri"/>
          <w:b w:val="0"/>
          <w:color w:val="3A4A28"/>
          <w:sz w:val="17"/>
        </w:rPr>
        <w:t>Steel Dynamics Q2 2026 Earnings Release — $6.09B revenue, $534M net income, $3.69 EPS, record 3.7M ton shipments, July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3. </w:t>
      </w:r>
      <w:r>
        <w:rPr>
          <w:rFonts w:ascii="Calibri" w:hAnsi="Calibri"/>
          <w:b w:val="0"/>
          <w:color w:val="3A4A28"/>
          <w:sz w:val="17"/>
        </w:rPr>
        <w:t>Comparably — Steel Dynamics culture ratings, CEO Mark Millett approval Top 5%, leadership grade A+; CEO transition Wagler/Millett announced August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4. </w:t>
      </w:r>
      <w:r>
        <w:rPr>
          <w:rFonts w:ascii="Calibri" w:hAnsi="Calibri"/>
          <w:b w:val="0"/>
          <w:color w:val="3A4A28"/>
          <w:sz w:val="17"/>
        </w:rPr>
        <w:t>Steel Dynamics corporate website — mission, foundational principles, BIOEDGE/EDGE products, steeldynamics.com, accessed August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5. </w:t>
      </w:r>
      <w:r>
        <w:rPr>
          <w:rFonts w:ascii="Calibri" w:hAnsi="Calibri"/>
          <w:b w:val="0"/>
          <w:color w:val="3A4A28"/>
          <w:sz w:val="17"/>
        </w:rPr>
        <w:t>Investor's Business Daily — Steel Dynamics named one of 100 Best ESG Companies, 2021; sustainability report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6. </w:t>
      </w:r>
      <w:r>
        <w:rPr>
          <w:rFonts w:ascii="Calibri" w:hAnsi="Calibri"/>
          <w:b w:val="0"/>
          <w:color w:val="3A4A28"/>
          <w:sz w:val="17"/>
        </w:rPr>
        <w:t>MarketBeat — STLD insider trading activity, net selling $6.4M, Alvarez and Cornew sales April-May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7. </w:t>
      </w:r>
      <w:r>
        <w:rPr>
          <w:rFonts w:ascii="Calibri" w:hAnsi="Calibri"/>
          <w:b w:val="0"/>
          <w:color w:val="3A4A28"/>
          <w:sz w:val="17"/>
        </w:rPr>
        <w:t>StockAnalysis / Yahoo Finance — STLD key statistics, Forward PE 13.0, D/E 44.4%, ROE 17.6%, dividend data, accessed August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8. </w:t>
      </w:r>
      <w:r>
        <w:rPr>
          <w:rFonts w:ascii="Calibri" w:hAnsi="Calibri"/>
          <w:b w:val="0"/>
          <w:color w:val="3A4A28"/>
          <w:sz w:val="17"/>
        </w:rPr>
        <w:t>Steel Dynamics Q2 2026 Earnings Call — H1 2026 operating income up 88%, record shipments, metal margin expansion, July 2026</w:t>
      </w:r>
    </w:p>
    <w:p>
      <w:pPr>
        <w:spacing w:before="400"/>
        <w:jc w:val="center"/>
      </w:pPr>
      <w:r>
        <w:rPr>
          <w:rFonts w:ascii="Calibri" w:hAnsi="Calibri"/>
          <w:b w:val="0"/>
          <w:color w:val="9DAF88"/>
          <w:sz w:val="16"/>
        </w:rPr>
        <w:t>Paradiem, LLC dba Intentional Ownership (“IOWN”) is a registered investment advisor. The information provided is for educational and informational purposes only and does not constitute investment advice.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