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STNE</w:t>
      </w:r>
      <w:r>
        <w:rPr>
          <w:rFonts w:ascii="Calibri" w:hAnsi="Calibri"/>
          <w:b/>
          <w:color w:val="1A2010"/>
          <w:sz w:val="40"/>
        </w:rPr>
        <w:t xml:space="preserve">  StoneCo Ltd.</w:t>
      </w:r>
    </w:p>
    <w:p>
      <w:pPr>
        <w:spacing w:after="120"/>
      </w:pPr>
      <w:r>
        <w:rPr>
          <w:rFonts w:ascii="Calibri" w:hAnsi="Calibri"/>
          <w:b/>
          <w:color w:val="6E8450"/>
          <w:sz w:val="18"/>
        </w:rPr>
        <w:t>GROWTH SLEEVE · 2026-10-21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NMS · Cayman Islands</w:t>
      </w:r>
    </w:p>
    <w:p>
      <w:pPr>
        <w:spacing w:after="80"/>
      </w:pPr>
      <w:r>
        <w:rPr>
          <w:rFonts w:ascii="Calibri" w:hAnsi="Calibri"/>
          <w:b w:val="0"/>
          <w:color w:val="3A4A28"/>
          <w:sz w:val="20"/>
        </w:rPr>
        <w:t>StoneCo is a Brazilian financial technology company providing payment processing, digital banking, and credit solutions to merchants across in-store, online, and mobile channels. Operating under the Stone and Pagar.me brands, the company serves small and medium businesses throughout Brazil with TTM revenue of approximately R$13.6B and a 24.7% profit margin. Founded in 2012 and headquartered in George Town, Cayman Islands, StoneCo reported Q2 2026 revenue of R$3.59B (up 2.5% YoY) with adjusted net income of R$582.7M [1].</w:t>
      </w:r>
    </w:p>
    <w:p>
      <w:r>
        <w:rPr>
          <w:rFonts w:ascii="Calibri" w:hAnsi="Calibri"/>
          <w:b/>
          <w:color w:val="6E8450"/>
          <w:sz w:val="18"/>
        </w:rPr>
        <w:t>15,000 Employees · https://www.stoneco.com.br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StoneCo disrupted the Brazilian payments market from its 2012 founding, building a vertically integrated fintech stack spanning POS terminals, digital banking, and credit products that enabled revenue growth from R$9.0B in 2022 to R$13.4B in 2025 [1][2]. The credit portfolio doubled year-over-year to R$3.8B in Q1 2026, with government-backed credit reaching R$300M, demonstrating execution in adjacent financial services. AI Deployment (0/2): No evidence of meaningful AI deployment in products or operations; the 2025 appointment of a CTO from Microsoft and CPIO role created in 2023 suggest technology investment but no specific AI capabilities have been demonstrated to customers or investors [3]. Market Share (1/2): StoneCo is one of Brazil's leading independent payment acquirers, competing against PagSeguro, Cielo, and bank-owned processors, with strong penetration among SMBs but limited traction in enterprise or cross-border segments. Product Pipeline (1/2): Credit revenue surged 186% YoY in Q1 2026 and the company declared an extraordinary dividend, signaling confidence, but beyond credit expansion no transformative product launches have been announced [2]. R&amp;D Intensity (1/1): Fintech company with dedicated technology leadership roles (CTO, CPIO) and continuous platform development across payments, banking, and credit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StoneCo's purpose of empowering Brazilian SMBs through financial technology is specific and geographically focused, addressing real underbanked market needs, but is not deeply differentiated from other Brazilian fintechs like PagSeguro or Nubank [3]. The company's own annual report describes a 'highly-innovative, entrepreneurial, and mission-driven culture' but this is self-reported. Community Impact (1/2): StoneCo provides financial access to millions of Brazilian small merchants who historically lacked affordable payment processing and credit, and the company published a 2023 sustainability report, though environmental commitments are limited for a fintech [4]. Employee Retention (1/2): The company underwent CEO changes effective March 2026 and had prior CEO Thiago Piau transition to the board, with CTO and CPIO appointments from external hires suggesting organizational rebuilding rather than deep bench strength [3]. Insider Buying (0/2): No evidence of meaningful net insider buying; the company has an active equity buyback program but insider transactions are not documented in public sources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(no regular dividend). StoneCo's financial profile is exceptionally strong on value metrics: Forward P/E of 5.1x (score 1.0) reflects deep discount valuation for a profitable fintech, while ROE of 34.0% (score 1.0, 2x weight) demonstrates capital efficiency well above the 15% target [1]. Profit margin of 24.7% (score 1.0) exceeds the 20% target, and the 3-year revenue CAGR of approximately 14.1% (score 1.0, 2x weight) surpasses the 10% target. The main weakness is D/E of 187.7% (score 0.49), elevated due to the credit business requiring financial leverage typical of lending operations. Most recent quarter revenue growth of 1.6% (score 0.72) reflects deceleration from mid-single-digit growth in Q1 2026 to 2.5% in Q2 2026, partly due to higher-for-longer interest rates in Brazil [1]. PEG ratio unavailable due to earnings decline. Daily dollar volume of $68.8M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StoneCo exhibits a mixed infinite game orientation — the company has a genuine purpose in democratizing financial services for Brazilian SMBs, but frequent leadership turnover and a short institutional history (founded 2012) create uncertainty about long-term commitment to that cause. The aggressive expansion into credit despite a challenging rate environment shows conviction, but the CEO transition in March 2026 and prior leadership changes suggest the organizational identity is still forming rather than deeply embedded.</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StoneCo's purpose of empowering Brazilian merchants through technology-driven financial inclusion is real and has driven consistent strategic decisions — building integrated payment/banking/credit capabilities for underserved SMBs rather than pursuing higher-margin enterprise clients [3]. However, the cause is not yet deeply embedded institutionally given the company's youth (14 years old) and multiple leadership transitions, and the extraordinary dividend declaration alongside growth investment sends mixed signals about long-term versus short-term priorities.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StoneCo has undergone significant leadership changes including the CEO transition effective March 2026, previous CEO Thiago Piau moving to the board, and external hires for CTO and CPIO roles [3]. No employee sentiment data (Glassdoor or equivalent) is publicly available for the company, and the PAX Global vendor raid in 2021 and subsequent shareholder class action suggest governance vulnerabilities that could undermine organizational trust [4].</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StoneCo competes in a fierce Brazilian fintech market against PagSeguro, Cielo, Nubank, and bank-owned processors, and has responded to competitive pressure by expanding from payments into credit and banking rather than simply defending market share [1][2]. The credit portfolio expansion (186% YoY growth) reflects a willingness to learn from rivals' product breadth, though no specific evidence of publicly acknowledging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StoneCo has meaningfully evolved from a pure payment processing company to an integrated financial services platform spanning POS terminals, digital banking, credit products, and software solutions [2][3]. The credit expansion — growing the portfolio from virtually zero to R$3.8B — represents a genuine business model pivot that serves the Just Cause of merchant empowerment while accepting material credit risk in a high-interest-rate environment.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StoneCo's aggressive credit expansion despite Brazil's high interest rate environment (Selic at 13.75%+) demonstrates willingness to accept short-term earnings pressure for long-term strategic positioning, with the credit portfolio doubling YoY [2]. However, the company's guidance revision toward the 'lower end of 2026 guidance' and the extraordinary dividend declaration suggest a tension between bold investment and shareholder appeasement that limits full marks for courage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StoneCo at $12.07 with a $2.8B market cap is a deeply undervalued Brazilian fintech trading at just 5.1x forward earnings — one of the lowest multiples in global payments — with a 24.7% profit margin, 34.0% ROE, and a credit business doubling annually [1]. Q1 2026 delivered R$3.58B revenue (+6.5% YoY) with credit revenue surging 186% YoY to R$297M, and the credit portfolio reached R$3.8B including R$300M in government-backed loans, demonstrating successful expansion from payments into lending [2]. The integrated platform serving millions of Brazilian SMBs across payments, banking, and credit creates significant cross-selling opportunities and merchant lock-in, while the company's conservative 2026 guidance (adj. gross profit R$4.6-7B, adj. basic EPS R$10.8-11.4) provides a clear earnings floor.</w:t>
      </w:r>
    </w:p>
    <w:p>
      <w:pPr>
        <w:spacing w:after="120"/>
      </w:pPr>
      <w:r>
        <w:rPr>
          <w:rFonts w:ascii="Calibri" w:hAnsi="Calibri"/>
          <w:b w:val="0"/>
          <w:color w:val="3A4A28"/>
          <w:sz w:val="20"/>
        </w:rPr>
        <w:t>The bear case centers on decelerating topline growth and credit risk in a challenging macro environment. Q2 2026 revenue grew just 2.5% YoY to R$3.59B while adjusted net income declined 2.6%, and the company is guiding toward the lower end of 2026 targets due to higher-for-longer interest rates [1]. The credit expansion, while strategically compelling, exposes StoneCo to material loan-loss provisions in a Brazilian economy with elevated rates, and the credit portfolio's rapid growth (2x YoY) has not been stress-tested through a full credit cycle. The March 2026 CEO transition introduces execution risk during a critical scaling phase, and the shareholder class action related to the 2021 PAX Global raid remains unresolved [3][4]. Competition from Nubank (which has significantly more capital and a larger customer base) and bank-owned acquirers with lower funding costs could compress StoneCo's credit margins. The stock's extreme discount (4.7x trailing PE) may reflect legitimate market concerns about earnings sustainability rather than a simple mispricing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portfolio scaling from R$3.8B toward R$5B+ as government-backed lending programs and improved underwriting expand the addressable market, with credit revenue already growing 186% YoY and representing the primary topline growth driver [2]</w:t>
      </w:r>
    </w:p>
    <w:p>
      <w:pPr>
        <w:spacing w:before="40" w:after="40"/>
        <w:ind w:left="283"/>
      </w:pPr>
      <w:r>
        <w:rPr>
          <w:rFonts w:ascii="Calibri" w:hAnsi="Calibri"/>
          <w:b/>
          <w:color w:val="4A6B25"/>
          <w:sz w:val="20"/>
        </w:rPr>
        <w:t xml:space="preserve">2. </w:t>
      </w:r>
      <w:r>
        <w:rPr>
          <w:rFonts w:ascii="Calibri" w:hAnsi="Calibri"/>
          <w:b w:val="0"/>
          <w:color w:val="3A4A28"/>
          <w:sz w:val="20"/>
        </w:rPr>
        <w:t>Potential re-rating from 5x forward earnings toward the 10-15x range typical of profitable fintechs if the company demonstrates credit quality through a full rate cycle and revenue growth reaccelerates above mid-single digits [1]</w:t>
      </w:r>
    </w:p>
    <w:p>
      <w:pPr>
        <w:spacing w:before="40" w:after="40"/>
        <w:ind w:left="283"/>
      </w:pPr>
      <w:r>
        <w:rPr>
          <w:rFonts w:ascii="Calibri" w:hAnsi="Calibri"/>
          <w:b/>
          <w:color w:val="4A6B25"/>
          <w:sz w:val="20"/>
        </w:rPr>
        <w:t xml:space="preserve">3. </w:t>
      </w:r>
      <w:r>
        <w:rPr>
          <w:rFonts w:ascii="Calibri" w:hAnsi="Calibri"/>
          <w:b w:val="0"/>
          <w:color w:val="3A4A28"/>
          <w:sz w:val="20"/>
        </w:rPr>
        <w:t>New CEO leadership effective March 2026 could bring fresh strategic direction, with 2027 guidance calling for meaningful acceleration to adj. gross profit of R$7.2-8.3B and adj. EPS of R$11.8-13.4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loss provisions could spike materially if Brazil's high interest rate environment persists or worsens, with the R$3.8B credit portfolio having doubled in just one year without experiencing a full credit cycle stress test [1][2]</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6.5% in Q1 to 2.5% in Q2 2026 suggests the core payments business is near-saturated in current market conditions, with earnings growth now negative at -16.6% YoY [1]</w:t>
      </w:r>
    </w:p>
    <w:p>
      <w:pPr>
        <w:spacing w:before="40" w:after="40"/>
        <w:ind w:left="283"/>
      </w:pPr>
      <w:r>
        <w:rPr>
          <w:rFonts w:ascii="Calibri" w:hAnsi="Calibri"/>
          <w:b/>
          <w:color w:val="4A6B25"/>
          <w:sz w:val="20"/>
        </w:rPr>
        <w:t xml:space="preserve">3. </w:t>
      </w:r>
      <w:r>
        <w:rPr>
          <w:rFonts w:ascii="Calibri" w:hAnsi="Calibri"/>
          <w:b w:val="0"/>
          <w:color w:val="3A4A28"/>
          <w:sz w:val="20"/>
        </w:rPr>
        <w:t>CEO transition in March 2026, unresolved shareholder class action, and Brazil's volatile macroeconomic environment (currency, rates, inflation) create compounding governance and country risk for a Cayman Islands-domiciled entity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StoneCo's core payment processing infrastructure benefits from physical distribution (POS terminals), regulatory barriers (Central Bank of Brazil licensing), and high merchant switching costs that provide structural protection against AI-driven disintermediation [3]. The credit underwriting business could benefit from AI-enhanced risk scoring, but competitors with superior AI capabilities — particularly Nubank with its massive data advantage and bank-owned acquirers with lower funding costs — could erode StoneCo's competitive position in lending. AI does not threaten the fundamental payment rails but could commoditize the value-added services that differentiate StoneCo from peers. AI Opportunity (0/1): Despite appointing a CTO from Microsoft and a CPIO, StoneCo has not demonstrated specific AI-powered product capabilities in fraud detection, credit scoring, or merchant analytics that would generate incremental revenue or measurable competitive advantage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StoneCo Q2 2026 Earnings Summary — R$3,587.4M Revenue (+2.5% YoY), Adj Net Income R$582.7M (-2.6% YoY) — Quartr, Benzinga, July 2026</w:t>
      </w:r>
    </w:p>
    <w:p>
      <w:pPr>
        <w:spacing w:before="20" w:after="20"/>
        <w:ind w:left="170"/>
      </w:pPr>
      <w:r>
        <w:rPr>
          <w:rFonts w:ascii="Calibri" w:hAnsi="Calibri"/>
          <w:b/>
          <w:color w:val="4A6B25"/>
          <w:sz w:val="15"/>
        </w:rPr>
        <w:t xml:space="preserve">2. </w:t>
      </w:r>
      <w:r>
        <w:rPr>
          <w:rFonts w:ascii="Calibri" w:hAnsi="Calibri"/>
          <w:b w:val="0"/>
          <w:color w:val="3A4A28"/>
          <w:sz w:val="17"/>
        </w:rPr>
        <w:t>StoneCo Q1 2026 Earnings Release — R$3,578M Revenue (+6.5% YoY), Credit Revenue R$297M (+186% YoY), Extraordinary Dividend Declared — Company Release, May 2026</w:t>
      </w:r>
    </w:p>
    <w:p>
      <w:pPr>
        <w:spacing w:before="20" w:after="20"/>
        <w:ind w:left="170"/>
      </w:pPr>
      <w:r>
        <w:rPr>
          <w:rFonts w:ascii="Calibri" w:hAnsi="Calibri"/>
          <w:b/>
          <w:color w:val="4A6B25"/>
          <w:sz w:val="15"/>
        </w:rPr>
        <w:t xml:space="preserve">3. </w:t>
      </w:r>
      <w:r>
        <w:rPr>
          <w:rFonts w:ascii="Calibri" w:hAnsi="Calibri"/>
          <w:b w:val="0"/>
          <w:color w:val="3A4A28"/>
          <w:sz w:val="17"/>
        </w:rPr>
        <w:t>StoneCo 20-F Annual Report FY2025 — Leadership Changes, Mission-Driven Culture, CTO/CPIO Appointments, CEO Transition March 2026 — SEC Filing, 2026</w:t>
      </w:r>
    </w:p>
    <w:p>
      <w:pPr>
        <w:spacing w:before="20" w:after="20"/>
        <w:ind w:left="170"/>
      </w:pPr>
      <w:r>
        <w:rPr>
          <w:rFonts w:ascii="Calibri" w:hAnsi="Calibri"/>
          <w:b/>
          <w:color w:val="4A6B25"/>
          <w:sz w:val="15"/>
        </w:rPr>
        <w:t xml:space="preserve">4. </w:t>
      </w:r>
      <w:r>
        <w:rPr>
          <w:rFonts w:ascii="Calibri" w:hAnsi="Calibri"/>
          <w:b w:val="0"/>
          <w:color w:val="3A4A28"/>
          <w:sz w:val="17"/>
        </w:rPr>
        <w:t>StoneCo ESG &amp; Governance — Sustainalytics Mid-Risk Rating (473/961), Shareholder Class Action (PAX Global Raid 2021), 2023 Sustainability Report — Multiple Sources, 2021-2026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