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STNG</w:t>
      </w:r>
      <w:r>
        <w:rPr>
          <w:rFonts w:ascii="Calibri" w:hAnsi="Calibri"/>
          <w:b/>
          <w:color w:val="1A2010"/>
          <w:sz w:val="40"/>
        </w:rPr>
        <w:t xml:space="preserve">  Scorpio Tankers Inc.</w:t>
      </w:r>
    </w:p>
    <w:p>
      <w:pPr>
        <w:spacing w:after="120"/>
      </w:pPr>
      <w:r>
        <w:rPr>
          <w:rFonts w:ascii="Calibri" w:hAnsi="Calibri"/>
          <w:b/>
          <w:color w:val="6E8450"/>
          <w:sz w:val="18"/>
        </w:rPr>
        <w:t>GROWTH SLEEVE · 2026-09-28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Midstream · NYSE · Monaco</w:t>
      </w:r>
    </w:p>
    <w:p>
      <w:pPr>
        <w:spacing w:after="80"/>
      </w:pPr>
      <w:r>
        <w:rPr>
          <w:rFonts w:ascii="Calibri" w:hAnsi="Calibri"/>
          <w:b w:val="0"/>
          <w:color w:val="3A4A28"/>
          <w:sz w:val="20"/>
        </w:rPr>
        <w:t>Scorpio Tankers is a leading international owner and operator of product tankers engaged in the seaborne transportation of refined petroleum products worldwide. The fleet consists of 90 wholly owned tankers including 34 LR2, 42 MR, and 14 Handymax vessels. Founded in 2009 by Emanuele Lauro, the company has grown from 3 vessels to one of the largest product tanker fleets globally. Q2 2026 revenue surged 78% YoY to $408.7M with record net income of $387.5M, driven by favorable product tanker rates amid geopolitical disruption. Headquartered in Monaco with a market cap of approximately $4.1B.</w:t>
      </w:r>
    </w:p>
    <w:p>
      <w:r>
        <w:rPr>
          <w:rFonts w:ascii="Calibri" w:hAnsi="Calibri"/>
          <w:b/>
          <w:color w:val="6E8450"/>
          <w:sz w:val="18"/>
        </w:rPr>
        <w:t>24 Employees · https://www.scorpiotankers.com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Scorpio Tankers has executed an impressive fleet scale-up from 3 vessels in 2003 to 90 vessels, strategically timing fleet acquisitions and dispositions across tanker cycles. The company invested in modern eco-efficient vessels with scrubber technology [3]. However, this represents operational scaling of a well-understood business model (tanker shipping), not product innovation or business model transformation. AI Deployment (1/2): Scorpio expanded installation of Orca AI across its fleet in 2024, enhancing vessel navigation, safety, and efficiency through artificial intelligence, and established an Acceptable Use of AI Policy governing AI adoption [3]. However, quantified financial impact from AI deployment has not been disclosed. Market Share (1/2): Scorpio Tankers operates one of the larger product tanker fleets globally with 90 vessels, making it a meaningful player in the highly fragmented product tanker market [1]. However, product tanker shipping is a commodity market with hundreds of operators, and Scorpio does not hold dominant market share. Product Pipeline (0/2): Scorpio outlined long-term fleet expansion plans in Q2 2026 earnings, but tanker companies do not have product pipelines in the traditional sense — the business involves chartering identical vessel types [1]. R&amp;D Intensity (0/1): Shipping companies invest minimally in R&amp;D; Scorpio's innovation efforts (Orca AI, Carbon Ridge carbon capture pilot) are operational technology adoptions, not R&amp;D intensity above industry norms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Scorpio articulates a values-based purpose: 'Through values of Integrity, Collaboration, Stewardship and Moxie, Scorpio's people are empowered to actively contribute to the positive advancement of the Maritime Industry' [3]. This is clear and identifies a purpose beyond profit (advancing the maritime industry), but is not distinctive — any shipping company could state similar values. The mention of 'Stewardship' and commitment to maritime industry advancement reflects some intentionality, but doesn't articulate a transformative vision. Community Impact (0/2): Scorpio publishes annual sustainability reports since 2019 and deployed Carbon Ridge onboard carbon capture as a pilot, but these are operational sustainability initiatives rather than community investment or charitable programs [3]. Employee Retention (0/2): With only 24 shore-side full-time employees (vessel crews are managed separately), the company is too small for meaningful retention analysis. Training programs and zero-tolerance ethics policies exist. Insider Buying (0/2): CEO Emanuele Lauro is the founder and maintains significant ownership, but no evidence of recent net insider buying was found.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Growth stock metrics with exceptional current-cycle financials. D/E of 20.0% is far below the 70% target (score 1.0) — Scorpio aggressively deleveraged its balance sheet [4]. ROE of 24.6% exceeds the 15% target (score 1.0, 2x weight). Revenue growth YoY of 77.5% dramatically exceeds the 10% target, driven by Q2 2026 revenue of $408.7M surging on favorable tanker rates (score 1.0) [1]. Estimated 5-year revenue CAGR of ~15% exceeds the 10% target as the tanker market recovered from the 2020-2021 trough (score 1.0, 2x weight). Forward P/E of 15.1x is well below the 20x target (score 1.0). Profit margin of 67.2% is exceptional (score 1.0) [4]. The only drag is PEG of 2.46 against the 1.0 target (score 0.27, 2x weight), reflecting market expectation that current peak earnings are unsustainable. Liquidity floor well cleared at ~$67.8M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Scorpio Tankers is a well-managed cyclical shipping company that optimizes for cycle timing rather than enduring purpose. Founder-CEO Emanuele Lauro has successfully navigated multiple tanker market cycles since 2009, demonstrating operational excellence and capital discipline. However, Sinek would identify this as a quintessentially finite game player — the company's strategic decisions are driven by market positioning, fleet timing, and shareholder returns rather than a vision that transcends quarterly results. The 24-person shore-side organization and commodity business model provide limited scope for the trust, flexibility, and cause elements of infinite game thinking.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Scorpio's purpose of 'positive advancement of the Maritime Industry' through Integrity, Collaboration, Stewardship, and Moxie is a values statement rather than a Just Cause in Sinek's framework [3]. The company exists fundamentally to transport petroleum products profitably — a necessary economic function but not a vision of a future state worth sacrificing for. The values are professional and admirable but interchangeable with any well-run shipping company. Sinek would note the absence of a vision that inspires beyond the industry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Scorpio maintains a lean 24-person shore-side organization with training programs, zero-tolerance ethics policy, and stated values of Integrity and Collaboration [3]. The small team and founder-CEO leadership since 2009 suggest stability. However, the minimal shore-side workforce makes organizational trust difficult to assess meaningfully — vessel crews are managed separately and the corporate culture of a 24-person Monaco office provides limited evidence for Sinek's Circle of Safety concept.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Scorpio frames competition with other product tanker operators (Torm, Hafnia, International Seaways) was identified. The tanker shipping market is fundamentally about rate arbitrage and fleet positioning rather than competitive learning. No management commentary on rival strengths or competitive self-improvement was found in earnings materials [1].</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(0/2): Scorpio has grown from 3 vessels to 90 vessels across LR2, MR, and Handymax classes, and has strategically timed fleet acquisitions and deleveraging across market cycles [1]. However, these are scaling decisions within the same business model — product tanker shipping. The company has not undergone any business model reinvention or strategic pivot. The Carbon Ridge carbon capture pilot is an operational experiment, not a transformative flexibility demonstration. Sinek would note the company is playing the same game better rather than adapting the game itself.</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Founder-CEO Lauro has demonstrated countercyclical conviction — aggressively deleveraging the balance sheet (D/E from historically high levels to 20%) and timing fleet expansions to capture market upturns [1]. The investment in Orca AI and Carbon Ridge carbon capture ahead of regulatory requirements shows forward-looking environmental leadership [3]. However, these are prudent capital allocation decisions typical of experienced shipping operators, not particularly costly or courageous bets that sacrificed near-term performance for long-term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Scorpio Tankers is delivering exceptional cyclical performance — Q2 2026 net income of $387.5M on revenue of $408.7M (+78% YoY) produced a 67.2% profit margin and ROE of 24.6%, driven by record product tanker rates amid geopolitical Middle East disruptions rerouting global tanker traffic [1]. The H1 2026 earnings of $603.8M ($13.00 basic EPS) already exceed FY2025's full-year net income of $344.3M ($7.40 EPS) [1][2]. The balance sheet is fortress-grade — D/E of only 20% after aggressive deleveraging — providing downside protection if tanker rates normalize [4]. At trailing P/E of 5.1x and Forward P/E of 15.1x, the stock prices in significant rate deterioration, offering potential upside if the elevated tanker rate environment persists. The 90-vessel modern fleet with AI-enhanced navigation (Orca AI) positions Scorpio as one of the most operationally efficient product tanker operators [3].</w:t>
      </w:r>
    </w:p>
    <w:p>
      <w:pPr>
        <w:spacing w:after="120"/>
      </w:pPr>
      <w:r>
        <w:rPr>
          <w:rFonts w:ascii="Calibri" w:hAnsi="Calibri"/>
          <w:b w:val="0"/>
          <w:color w:val="3A4A28"/>
          <w:sz w:val="20"/>
        </w:rPr>
        <w:t>The bear case is the iron law of tanker cycle mean reversion. Scorpio's extraordinary current profitability (67.2% margin, 382.8% EPS growth) is driven by geopolitical disruptions that rerouted tanker traffic and tightened vessel supply — these conditions are inherently temporary [1]. The forward P/E of 15.1x versus trailing P/E of 5.1x signals the market expects a ~67% earnings decline, and the PEG of 2.46 reflects the unsustainable growth trajectory. FY2025 already demonstrated this cyclicality — net income fell from $668.8M (FY2024) to $344.3M (FY2025) before the H1 2026 surge [2]. The company has only 24 shore-side employees with limited strategic diversification beyond petroleum product transportation — a business that faces long-term structural decline risk from the energy transition and declining global oil product demand. The dividend was suspended during COVID-19 and reinstated with only ~3 consecutive years of payments at a modest 10.7% payout ratio, providing limited income appeal. Innovation (3/10) and Inspiration (2/10) scores reflect a commodity business without differentiation or purpose beyond profitable shipping.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Middle East geopolitical disruption extending the favorable tanker rate environment beyond current market expectations, sustaining the 67.2% profit margin and $13+ EPS run rate into H2 2026 and FY2027 [1]</w:t>
      </w:r>
    </w:p>
    <w:p>
      <w:pPr>
        <w:spacing w:before="40" w:after="40"/>
        <w:ind w:left="283"/>
      </w:pPr>
      <w:r>
        <w:rPr>
          <w:rFonts w:ascii="Calibri" w:hAnsi="Calibri"/>
          <w:b/>
          <w:color w:val="4A6B25"/>
          <w:sz w:val="20"/>
        </w:rPr>
        <w:t xml:space="preserve">2. </w:t>
      </w:r>
      <w:r>
        <w:rPr>
          <w:rFonts w:ascii="Calibri" w:hAnsi="Calibri"/>
          <w:b w:val="0"/>
          <w:color w:val="3A4A28"/>
          <w:sz w:val="20"/>
        </w:rPr>
        <w:t>Long-term fleet expansion announced in Q2 2026 earnings, positioning Scorpio to capture incremental revenue if product tanker demand remains elevated from trade route disruptions and refinery capacity additions [1]</w:t>
      </w:r>
    </w:p>
    <w:p>
      <w:pPr>
        <w:spacing w:before="40" w:after="40"/>
        <w:ind w:left="283"/>
      </w:pPr>
      <w:r>
        <w:rPr>
          <w:rFonts w:ascii="Calibri" w:hAnsi="Calibri"/>
          <w:b/>
          <w:color w:val="4A6B25"/>
          <w:sz w:val="20"/>
        </w:rPr>
        <w:t xml:space="preserve">3. </w:t>
      </w:r>
      <w:r>
        <w:rPr>
          <w:rFonts w:ascii="Calibri" w:hAnsi="Calibri"/>
          <w:b w:val="0"/>
          <w:color w:val="3A4A28"/>
          <w:sz w:val="20"/>
        </w:rPr>
        <w:t>Continued balance sheet deleveraging and potential dividend increases from the 10.7% payout ratio as free cash flow generation (TTM ~$272M) funds shareholder returns [2][4]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Tanker rate mean reversion as geopolitical disruptions ease — a normalization of Middle East shipping routes would collapse the rate premium driving Q2 2026's record $387.5M net income back toward FY2025's more modest $344.3M full-year level [1][2]</w:t>
      </w:r>
    </w:p>
    <w:p>
      <w:pPr>
        <w:spacing w:before="40" w:after="40"/>
        <w:ind w:left="283"/>
      </w:pPr>
      <w:r>
        <w:rPr>
          <w:rFonts w:ascii="Calibri" w:hAnsi="Calibri"/>
          <w:b/>
          <w:color w:val="4A6B25"/>
          <w:sz w:val="20"/>
        </w:rPr>
        <w:t xml:space="preserve">2. </w:t>
      </w:r>
      <w:r>
        <w:rPr>
          <w:rFonts w:ascii="Calibri" w:hAnsi="Calibri"/>
          <w:b w:val="0"/>
          <w:color w:val="3A4A28"/>
          <w:sz w:val="20"/>
        </w:rPr>
        <w:t>Long-term structural decline in petroleum product demand from the energy transition — electrification of transport, renewable energy adoption, and tightening emissions regulations threaten the fundamental demand base for product tanker shipping [3]</w:t>
      </w:r>
    </w:p>
    <w:p>
      <w:pPr>
        <w:spacing w:before="40" w:after="40"/>
        <w:ind w:left="283"/>
      </w:pPr>
      <w:r>
        <w:rPr>
          <w:rFonts w:ascii="Calibri" w:hAnsi="Calibri"/>
          <w:b/>
          <w:color w:val="4A6B25"/>
          <w:sz w:val="20"/>
        </w:rPr>
        <w:t xml:space="preserve">3. </w:t>
      </w:r>
      <w:r>
        <w:rPr>
          <w:rFonts w:ascii="Calibri" w:hAnsi="Calibri"/>
          <w:b w:val="0"/>
          <w:color w:val="3A4A28"/>
          <w:sz w:val="20"/>
        </w:rPr>
        <w:t>Extreme earnings cyclicality makes valuation unreliable — trailing P/E of 5.1x at cycle peak is misleading, and the 3x earnings swing from FY2024 ($668.8M) to FY2025 ($344.3M) to H1 2026 ($603.8M) makes forward estimates highly uncertain [1][2][4]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Scorpio Tankers' core business — physically transporting refined petroleum products across oceans using large vessels — is structurally immune to AI disruption [3]. AI cannot replace the need to move physical cargo via tanker ships through international waterways. The business depends on physical infrastructure (90 vessels), global trade flows, geopolitical dynamics, and maritime logistics that are inherently physical-world operations. Demand drivers are geopolitical (Middle East tensions rerouting tanker traffic), regulatory (IMO emissions standards), and macroeconomic (global refinery throughput and product demand), none of which AI can substitute or displace [1]. AI may enhance operational efficiency (Orca AI navigation) but fundamentally cannot replace the service. AI Opportunity (0/1): Scorpio uses AI (Orca AI) for operational efficiency improvement but does not generate AI-related revenue. AI is a cost-reduction tool, not a revenue stream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Scorpio Tankers Q2 2026 Earnings — Record Net Income $387.5M, Revenue $408.7M (+78% YoY), H1 2026 Net Income $603.8M ($13.00 EPS), Geopolitical-Driven Tanker Rates — SEC 6-K, Globe and Mail, BriefGlance, August 2026</w:t>
      </w:r>
    </w:p>
    <w:p>
      <w:pPr>
        <w:spacing w:before="20" w:after="20"/>
        <w:ind w:left="170"/>
      </w:pPr>
      <w:r>
        <w:rPr>
          <w:rFonts w:ascii="Calibri" w:hAnsi="Calibri"/>
          <w:b/>
          <w:color w:val="4A6B25"/>
          <w:sz w:val="15"/>
        </w:rPr>
        <w:t xml:space="preserve">2. </w:t>
      </w:r>
      <w:r>
        <w:rPr>
          <w:rFonts w:ascii="Calibri" w:hAnsi="Calibri"/>
          <w:b w:val="0"/>
          <w:color w:val="3A4A28"/>
          <w:sz w:val="17"/>
        </w:rPr>
        <w:t>Scorpio Tankers Q4 &amp; FY2025 Results — Net Income $344.3M ($7.40 EPS), Down from FY2024 $668.8M ($13.78 EPS), Q4 2025 Earnings Presentation, February 2026</w:t>
      </w:r>
    </w:p>
    <w:p>
      <w:pPr>
        <w:spacing w:before="20" w:after="20"/>
        <w:ind w:left="170"/>
      </w:pPr>
      <w:r>
        <w:rPr>
          <w:rFonts w:ascii="Calibri" w:hAnsi="Calibri"/>
          <w:b/>
          <w:color w:val="4A6B25"/>
          <w:sz w:val="15"/>
        </w:rPr>
        <w:t xml:space="preserve">3. </w:t>
      </w:r>
      <w:r>
        <w:rPr>
          <w:rFonts w:ascii="Calibri" w:hAnsi="Calibri"/>
          <w:b w:val="0"/>
          <w:color w:val="3A4A28"/>
          <w:sz w:val="17"/>
        </w:rPr>
        <w:t>Scorpio Tankers ESG, Innovation &amp; Culture — Orca AI Fleet Navigation, Carbon Ridge Carbon Capture Pilot, Sustainability Reports Since 2019, Values of Integrity/Collaboration/Stewardship/Moxie — scorpiotankers.com, Comparably, 2024-2026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STNG Key Statistics: P/E 5.08, Forward P/E 15.09, PEG 2.46, D/E 20.0%, ROE 24.6%, Profit Margin 67.2%, Dividend Yield 2.21%, Price $81.49,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