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STRL</w:t>
      </w:r>
      <w:r>
        <w:rPr>
          <w:rFonts w:ascii="Calibri" w:hAnsi="Calibri"/>
          <w:b/>
          <w:color w:val="1A2010"/>
          <w:sz w:val="40"/>
        </w:rPr>
        <w:t xml:space="preserve">  Sterling Infrastructure, Inc.</w:t>
      </w:r>
    </w:p>
    <w:p>
      <w:pPr>
        <w:spacing w:after="120"/>
      </w:pPr>
      <w:r>
        <w:rPr>
          <w:rFonts w:ascii="Calibri" w:hAnsi="Calibri"/>
          <w:b/>
          <w:color w:val="6E8450"/>
          <w:sz w:val="18"/>
        </w:rPr>
        <w:t>GROWTH SLEEVE · 2026-10-13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NASDAQ · United States</w:t>
      </w:r>
    </w:p>
    <w:p>
      <w:pPr>
        <w:spacing w:after="80"/>
      </w:pPr>
      <w:r>
        <w:rPr>
          <w:rFonts w:ascii="Calibri" w:hAnsi="Calibri"/>
          <w:b w:val="0"/>
          <w:color w:val="3A4A28"/>
          <w:sz w:val="20"/>
        </w:rPr>
        <w:t>Sterling Infrastructure provides e-infrastructure, transportation, and building solutions across the United States through three segments. The company has strategically pivoted from commodity contracting to mission-critical infrastructure, with its E-Infrastructure segment building data centers and semiconductor facilities for hyperscale customers using its integrated 'Site + Shell' model. Q2 2026 revenue surged 90% YoY with adjusted EBITDA margins of 22%, and 2026 full-year guidance was raised to $4.0-4.15B (+64% YoY). Combined backlog of $5.6B (+150% YoY) provides exceptional revenue visibility. Headquartered in The Woodlands, Texas. CEO Joe Cutillo has led the transformation since 2017. Market cap ~$15.3B.</w:t>
      </w:r>
    </w:p>
    <w:p>
      <w:r>
        <w:rPr>
          <w:rFonts w:ascii="Calibri" w:hAnsi="Calibri"/>
          <w:b/>
          <w:color w:val="6E8450"/>
          <w:sz w:val="18"/>
        </w:rPr>
        <w:t>6,200 Employees · https://www.strlco.com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Sterling has executed one of the most successful strategic pivots in the infrastructure sector, transforming from a commodity bid-and-build contractor (95% Heavy Civil in 2015) into an AI data center and semiconductor facility construction powerhouse under CEO Joe Cutillo since 2017 [1][5]. The integrated 'Site + Shell' model — combining site preparation with advanced electrical and mechanical systems into a turnkey solution — reduces build times for hyperscale customers and is a genuine business model innovation. Revenue grew from ~$1.55B (2021) to guided $4.0-4.15B (2026), and the company renamed itself from Sterling Construction to Sterling Infrastructure to reflect the transformation. AI Deployment (0/2): Sterling does not deploy AI in its own products or services; it builds physical infrastructure for others' AI workloads but has not reported AI-powered internal operations or AI-driven cost savings [1]. Market Share (2/2): Sterling is the fastest-growing data center site contractor in the U.S., with combined backlog surging 150% YoY to $5.6B and signed backlog up 116% to $4.3B — evidence of rapidly gaining share in mission-critical infrastructure where qualification and trust barriers are high [1][2]. Product Pipeline (2/2): The $5.6B combined backlog plus $1.4B high-probability future phase pipeline provides 6+ quarters of revenue visibility, with diversification into semiconductor, pharmaceutical, and manufacturing campus construction extending beyond pure data center exposure [1][2]. R&amp;D Intensity (0/1): As a construction company, Sterling's innovation comes through operational execution and business model design rather than traditional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Joe Cutillo articulates a purpose — 'Our work is about more than construction; it's about creating a foundation for a sustainable and equitable tomorrow, today' — that connects infrastructure construction to a larger societal impact [3]. The statement identifies purpose beyond profit, but it has not been tested through decades of consistent execution or crisis, and the framing is not yet distinctive enough to serve as a competitive advantage in Sinek's framework. Community Impact (1/2): Sterling publishes annual Sustainability Reports with ESG initiatives including fleet modernization, GHG reduction commitments, environmental stewardship, and community stakeholder engagement, receiving a Sustainalytics ESG Risk Rating of 153 out of 345 in Construction &amp; Engineering [3][4]. However, no specific charitable foundation or distinctive community programs with dollar amounts were identified. Employee Retention (0/2): No Glassdoor ratings or specific retention data were found in current search results. CEO Cutillo's 9-year tenure provides leadership continuity, and the workforce grew from ~4,500 to 6,200 employees reflecting rapid expansion, but no voluntary turnover or average tenure metrics are available [3]. Insider Buying (0/2): CEO total compensation of $16.87M (94.1% bonus/stock-based) reflects alignment through equity compensation, but no evidence of meaningful discretionary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 Sterling achieves near-perfect marks across all dimensions. D/E of 24.2% is exceptionally conservative for a high-growth company, well below the 70% target (score 1.0) [4]. ROE of 40.0% exceeds the 15% target by 2.7x (score 1.0, 2x weight), demonstrating outstanding capital efficiency as adjusted net income grew 118% YoY in Q2 2026 [1]. Revenue growth YoY of 90.1% massively exceeds the 10% target (score 1.0), with organic growth of approximately 50% before acquisitions [1]. Estimated 5yr revenue CAGR of ~21% (from ~$1.55B in 2021 to guided $4.075B in 2026) also hits target (score 1.0, 2x weight). Forward P/E of 19.47 has compressed below the 20 target (score 1.0), reflecting the stock pullback from $567 to $501 while forward EPS estimates increased to $25.74 [4]. Forward PEG of 0.63 is well below the 1.0 target (score 1.0, 2x weight), indicating the growth rate more than justifies the valuation. The only drag is profit margin of 12.55% against the 20% target (score 0.63, 1x weight), reflecting the structurally labor-intensive nature of construction — though EBITDA margins of 22% demonstrate strong operational leverage. Liquidity is exceptional at ~$327M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Sterling demonstrates meaningful infinite game characteristics through its deliberate strategic transformation from commodity contracting to mission-critical infrastructure — a pivot that required courage, long-term vision, and willingness to walk away from established revenue streams. CEO Cutillo's nine-year tenure and consistent strategic direction provide leadership continuity. However, the purpose statement, while genuine, lacks the depth and multi-decade validation of true infinite game players, and the company has not yet been tested through a full economic cycle in its new identity. Sterling is playing to build something lasting but the AI data center tailwind makes it difficult to distinguish strategic conviction from market momentum.</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Sterling's stated purpose — building 'a foundation for a sustainable and equitable tomorrow' through infrastructure — is genuine and partially lived [3]. The strategic pivot to mission-critical infrastructure (data centers, semiconductor fabs) can be traced back to a vision of building the physical foundation for America's technological future. CEO Cutillo has referenced this purpose consistently since 2017, and strategic decisions (shifting resources from transportation to E-Infrastructure) align with it [5]. However, the purpose hasn't been tested through a market downturn or crisis — the data center boom has been tailwind-driven, making it unclear whether the cause would survive if AI infrastructure demand decelerated.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Sterling maintains a growing workforce of ~6,200 employees with leadership stability under CEO Cutillo since 2017 [3]. The company's rapid expansion from 4,500 to 6,200 employees and successful integration of acquisitions suggest functional organizational capacity. However, no independent employee satisfaction data, voluntary turnover rates, or evidence of exceptional trust or empowerment programs were found in current search results, making it impossible to distinguish Sterling's internal culture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in Sterling's public communications. Management commentary focuses on the company's own capabilities, backlog growth, and market positioning rather than explicitly acknowledging competitors' strengths or framing competition as self-improvement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Sterling has meaningfully evolved from a commodity infrastructure contractor (95% Heavy Civil in 2015) to a mission-critical data center and semiconductor facility construction leader, entering adjacent markets and adopting the integrated Site + Shell delivery model [5]. This shift transformed the company's revenue mix, margin profile, and customer base. However, the core competency remains construction — the company applied existing capabilities to a new end market rather than fundamentally abandoning its core business, and the pivot was opportunistic rather than the painful self-disruption Sinek describes as true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Cutillo has demonstrated a pattern of courageous long-term bets since 2017. The decision to deliberately shift resources away from established Transportation Solutions to build the E-Infrastructure division required sacrificing near-term revenue for long-term positioning [5]. Sterling invested heavily in integrated Site + Shell capabilities, customer relationships with hyperscalers, and acquisition integration before the outcomes were certain. The transformation from 'Sterling Construction' to 'Sterling Infrastructure' — with revenue growing from ~$1.55B to $4B+ in five years — validates the courage, but the decisions were made before the payoffs materialized. The willingness to accept near-term Transportation revenue declines while building data center capabilities exemplifies choosing right over easy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Sterling Infrastructure at $501 with a $15.3B market cap is executing the most impressive strategic pivot in U.S. construction, riding the AI data center buildout to record results — Q2 2026 revenue surged 90% YoY with adjusted EBITDA margins expanding to 22%, and adjusted EPS of $5.80 grew 116% [1]. The integrated 'Site + Shell' model creates a defensible competitive position with hyperscale customers who value speed-to-deployment, translating into a $5.6B combined backlog (+150% YoY) and $1.4B high-probability pipeline providing 6+ quarters of revenue visibility [1][2]. Full-year 2026 guidance was raised twice to $4.0-4.15B revenue (+64%) with adjusted EPS of $19.70-$20.30 (+84%). At Forward P/E 19.47 and PEG 0.63, the stock is now attractively valued after pulling back from ~$567, with ROE of 40.0%, D/E of just 24.2%, and $464M in cash against $337M in debt demonstrating capital efficiency and balance sheet strength [4]. Diversification into semiconductor, pharmaceutical, and manufacturing campus construction reduces pure-play AI concentration risk [5].</w:t>
      </w:r>
    </w:p>
    <w:p>
      <w:pPr>
        <w:spacing w:after="120"/>
      </w:pPr>
      <w:r>
        <w:rPr>
          <w:rFonts w:ascii="Calibri" w:hAnsi="Calibri"/>
          <w:b w:val="0"/>
          <w:color w:val="3A4A28"/>
          <w:sz w:val="20"/>
        </w:rPr>
        <w:t>The bear case centers on customer concentration, cyclicality, and the untested durability of the AI infrastructure buildout. Revenue is increasingly concentrated in hyperscale data center customers whose capital spending plans could shift rapidly — if AI compute ROI disappoints and construction budgets are cut, Sterling's $5.6B backlog could face deferrals or cancellations [5]. The 90% quarterly revenue growth rate includes significant contribution from acquisitions (CEC, Stone Ridge), and organic growth of ~50% — while still exceptional — will face tough comparisons in 2027. Profit margin of 12.55% remains below the 20% target, reflecting the structurally labor-intensive nature of construction that caps margin expansion despite operational improvements [4]. The company has not navigated an economic downturn in its transformed identity — Sterling Construction's pre-2017 history provides no guide to how the data center-focused business would perform if infrastructure spending decelerates. At $501, a trailing P/E of 36.1 still prices in sustained exceptional growth, and the stock's beta of 1.86 means any growth narrative weakening would amplify downside versus the market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construction super-cycle with combined backlog of $5.6B (+150% YoY) and $1.4B high-probability pipeline providing multi-year revenue visibility, as hyperscalers race to deploy AI capacity requiring massive physical infrastructure [1][2]</w:t>
      </w:r>
    </w:p>
    <w:p>
      <w:pPr>
        <w:spacing w:before="40" w:after="40"/>
        <w:ind w:left="283"/>
      </w:pPr>
      <w:r>
        <w:rPr>
          <w:rFonts w:ascii="Calibri" w:hAnsi="Calibri"/>
          <w:b/>
          <w:color w:val="4A6B25"/>
          <w:sz w:val="20"/>
        </w:rPr>
        <w:t xml:space="preserve">2. </w:t>
      </w:r>
      <w:r>
        <w:rPr>
          <w:rFonts w:ascii="Calibri" w:hAnsi="Calibri"/>
          <w:b w:val="0"/>
          <w:color w:val="3A4A28"/>
          <w:sz w:val="20"/>
        </w:rPr>
        <w:t>Full-year 2026 guidance raised twice to $4.0-4.15B revenue (+64%) and adjusted EPS $19.70-$20.30 (+84%), with Forward P/E compression to 19.47 and PEG of 0.63 now offering attractive valuation relative to growth rate [1][4]</w:t>
      </w:r>
    </w:p>
    <w:p>
      <w:pPr>
        <w:spacing w:before="40" w:after="40"/>
        <w:ind w:left="283"/>
      </w:pPr>
      <w:r>
        <w:rPr>
          <w:rFonts w:ascii="Calibri" w:hAnsi="Calibri"/>
          <w:b/>
          <w:color w:val="4A6B25"/>
          <w:sz w:val="20"/>
        </w:rPr>
        <w:t xml:space="preserve">3. </w:t>
      </w:r>
      <w:r>
        <w:rPr>
          <w:rFonts w:ascii="Calibri" w:hAnsi="Calibri"/>
          <w:b w:val="0"/>
          <w:color w:val="3A4A28"/>
          <w:sz w:val="20"/>
        </w:rPr>
        <w:t>Diversification beyond pure-play data centers into semiconductor fabrication facilities, pharmaceutical campuses, and advanced manufacturing — broadening the addressable market and reducing AI concentration risk while maintaining the integrated Site + Shell competitive advantage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Customer concentration in hyperscale AI data center builders creates binary exposure to AI infrastructure capital spending — if hyperscaler ROI disappoints and construction budgets are cut, Sterling's $5.6B backlog could face deferrals or cancellations [5]</w:t>
      </w:r>
    </w:p>
    <w:p>
      <w:pPr>
        <w:spacing w:before="40" w:after="40"/>
        <w:ind w:left="283"/>
      </w:pPr>
      <w:r>
        <w:rPr>
          <w:rFonts w:ascii="Calibri" w:hAnsi="Calibri"/>
          <w:b/>
          <w:color w:val="4A6B25"/>
          <w:sz w:val="20"/>
        </w:rPr>
        <w:t xml:space="preserve">2. </w:t>
      </w:r>
      <w:r>
        <w:rPr>
          <w:rFonts w:ascii="Calibri" w:hAnsi="Calibri"/>
          <w:b w:val="0"/>
          <w:color w:val="3A4A28"/>
          <w:sz w:val="20"/>
        </w:rPr>
        <w:t>Revenue growth of 90% YoY includes substantial acquisition contribution (CEC, Stone Ridge), and organic growth of ~50% will face increasingly difficult comparisons in 2027 — the trailing P/E of 36.1 still demands sustained exceptional execution [1][4]</w:t>
      </w:r>
    </w:p>
    <w:p>
      <w:pPr>
        <w:spacing w:before="40" w:after="40"/>
        <w:ind w:left="283"/>
      </w:pPr>
      <w:r>
        <w:rPr>
          <w:rFonts w:ascii="Calibri" w:hAnsi="Calibri"/>
          <w:b/>
          <w:color w:val="4A6B25"/>
          <w:sz w:val="20"/>
        </w:rPr>
        <w:t xml:space="preserve">3. </w:t>
      </w:r>
      <w:r>
        <w:rPr>
          <w:rFonts w:ascii="Calibri" w:hAnsi="Calibri"/>
          <w:b w:val="0"/>
          <w:color w:val="3A4A28"/>
          <w:sz w:val="20"/>
        </w:rPr>
        <w:t>Construction industry cyclicality and labor-intensive operations (12.55% profit margin) create structural vulnerability to economic downturns, labor shortages, and weather disruptions — risks the company has not yet navigated in its transformed identity, with beta of 1.86 amplifying downside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Sterling's core business is IMMUNE to AI disruption — the company builds physical data centers, semiconductor fabrication facilities, and infrastructure that AI literally cannot substitute [1][5]. Physical construction, earthwork, foundations, and mechanical/electrical systems require human labor, heavy equipment, and on-site execution that no software can replicate. More critically, AI is the primary demand driver for Sterling's highest-growth segment: the E-Infrastructure business builds the data centers that house AI workloads, creating a structural tailwind as hyperscalers race to deploy AI capacity. Regulatory requirements (building codes, environmental permits, safety compliance) create additional moats. The Transportation Solutions segment is less protected — road and bridge construction could face some efficiency pressure from AI-optimized design and construction management — but this segment is shrinking as a share of revenue. AI Opportunity (1/1): Sterling generates substantial AI-linked revenue through its E-Infrastructure segment, which builds data centers for hyperscale AI customers. Q2 2026 revenue surged 90% YoY directly driven by AI data center demand, and the $5.6B combined backlog is dominated by AI-related infrastructure projects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Sterling Infrastructure Q2 2026 Earnings Release — Revenue +90% YoY, Adjusted EPS $5.80 (+116%), Adjusted EBITDA Margin 22%, Raised Full-Year 2026 Guidance to $4.0-4.15B Revenue — PR Newswire/Seeking Alpha, August 2026</w:t>
      </w:r>
    </w:p>
    <w:p>
      <w:pPr>
        <w:spacing w:before="20" w:after="20"/>
        <w:ind w:left="170"/>
      </w:pPr>
      <w:r>
        <w:rPr>
          <w:rFonts w:ascii="Calibri" w:hAnsi="Calibri"/>
          <w:b/>
          <w:color w:val="4A6B25"/>
          <w:sz w:val="15"/>
        </w:rPr>
        <w:t xml:space="preserve">2. </w:t>
      </w:r>
      <w:r>
        <w:rPr>
          <w:rFonts w:ascii="Calibri" w:hAnsi="Calibri"/>
          <w:b w:val="0"/>
          <w:color w:val="3A4A28"/>
          <w:sz w:val="17"/>
        </w:rPr>
        <w:t>Sterling Infrastructure Q1 2026 Earnings Release — Revenue $825.7M (+92% YoY), Adjusted EPS $3.59 (+120%), Signed Backlog $4.3B (+116%), Combined Backlog $5.6B (+150%), Raised Guidance — PR Newswire, May 2026</w:t>
      </w:r>
    </w:p>
    <w:p>
      <w:pPr>
        <w:spacing w:before="20" w:after="20"/>
        <w:ind w:left="170"/>
      </w:pPr>
      <w:r>
        <w:rPr>
          <w:rFonts w:ascii="Calibri" w:hAnsi="Calibri"/>
          <w:b/>
          <w:color w:val="4A6B25"/>
          <w:sz w:val="15"/>
        </w:rPr>
        <w:t xml:space="preserve">3. </w:t>
      </w:r>
      <w:r>
        <w:rPr>
          <w:rFonts w:ascii="Calibri" w:hAnsi="Calibri"/>
          <w:b w:val="0"/>
          <w:color w:val="3A4A28"/>
          <w:sz w:val="17"/>
        </w:rPr>
        <w:t>Sterling Infrastructure Mission/Values ('Creating a Foundation for a Sustainable and Equitable Tomorrow'), Sustainability Reports, CEO Joe Cutillo Leadership Profile — strlco.com, Sustainalytics,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STRL Key Statistics: Stock Price $501.19, Forward P/E 19.47, PEG 0.63, ROE 40.0%, D/E 24.2%, Profit Margin 12.55%, Avg Volume 651,796, Beta 1.86,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Sterling Strategic Pivot Analysis — 'From Earthmover to AI Infrastructure Powerhouse,' 1,700% Five-Year Return, Site + Shell Model, Data Center/AI Backlog Assessment — Seeking Alpha, Market Chameleon,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