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SUPV</w:t>
      </w:r>
      <w:r>
        <w:rPr>
          <w:rFonts w:ascii="Calibri" w:hAnsi="Calibri"/>
          <w:b/>
          <w:color w:val="1A2010"/>
          <w:sz w:val="40"/>
        </w:rPr>
        <w:t xml:space="preserve">  Grupo Supervielle S.A.</w:t>
      </w:r>
    </w:p>
    <w:p>
      <w:pPr>
        <w:spacing w:after="120"/>
      </w:pPr>
      <w:r>
        <w:rPr>
          <w:rFonts w:ascii="Calibri" w:hAnsi="Calibri"/>
          <w:b/>
          <w:color w:val="6E8450"/>
          <w:sz w:val="18"/>
        </w:rPr>
        <w:t>GROWTH SLEEVE · 2026-08-29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Argentina</w:t>
      </w:r>
    </w:p>
    <w:p>
      <w:pPr>
        <w:spacing w:after="80"/>
      </w:pPr>
      <w:r>
        <w:rPr>
          <w:rFonts w:ascii="Calibri" w:hAnsi="Calibri"/>
          <w:b w:val="0"/>
          <w:color w:val="3A4A28"/>
          <w:sz w:val="20"/>
        </w:rPr>
        <w:t>Grupo Supervielle is an Argentine financial services holding company operating the fourth-largest private domestically-owned bank in Argentina by assets. Founded in 1887, it provides banking, insurance, asset management, and digital financial services through a multi-brand, multi-channel platform. Key subsidiaries include Banco Supervielle, invertirOnline (digital investment platform), and Supervielle Seguros (insurance). Headquartered in Buenos Aires.</w:t>
      </w:r>
    </w:p>
    <w:p>
      <w:r>
        <w:rPr>
          <w:rFonts w:ascii="Calibri" w:hAnsi="Calibri"/>
          <w:b/>
          <w:color w:val="6E8450"/>
          <w:sz w:val="18"/>
        </w:rPr>
        <w:t>https://www.gruposupervielle.com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Grupo Supervielle has advanced its digital transformation with crypto offerings, invertirOnline scaling, and reconfigured branch networks toward virtual relationship models, but these are incremental improvements for a traditional bank rather than transformative pivots [1][2]. New CEO Gustavo Manriquez (appointed October 2024) is driving continued digital strategy after 30+ years in Argentine banking, including pioneering digital solutions at his former institution [2]. AI Deployment (0/2): No evidence of AI-powered products shipping to customers or quantified AI-driven cost savings; digital initiatives focus on traditional fintech capabilities like mobile banking and crypto [2]. Market Share (1/2): Fourth-largest private domestically-owned bank in Argentina — meaningful but non-dominant in a fragmented emerging market banking sector competing against Banco Galicia, Banco Macro, and BBVA Argentina [1]. Product Pipeline (1/2): 2026 loan growth guidance revised down to 10-15% (from initial &gt;20% target), with continued digital ecosystem expansion including crypto and virtual banking models, but specific product timelines are vague [1][7]. R&amp;D Intensity (0/1): No disclosed R&amp;D spending data; digital investment is modest relative to total operations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Grupo Supervielle's mission is 'to offer innovative financial solutions that improve the quality of life for its customers while contributing to the economic development of Argentina' — clear and connects the company's work to a national purpose beyond profit, but still largely generic for a financial institution [3]. Community Impact (1/2): Included in BYMA's (Buenos Aires Stock Exchange) Sustainability Index for five consecutive years, ranked 2nd in Best ESG in Latin America by Institutional Investor, and maintains social programs, though specific charitable dollar amounts are not prominently disclosed [5]. Employee Retention (0/2): No publicly available data on turnover rates, average tenure, or employee satisfaction metrics. The CEO transition from Patricio Supervielle to new Bank CEO Manriquez in 2024 suggests leadership evolution but provides limited retention insight [2]. Insider Buying (0/2): No meaningful insider buying identified; Ignacio Juan Morello sold 51,000 shares ($82,620) in May 2026, and Form 3 filings show initial ownership positions but no net open-market purchases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significant improvement driven by Q2 2026 return to profitability. Q2 2026 delivered revenue of $384.72M (beating expectations of $219.58M by $165M) with ARS 13B attributable net income and ARS 36B adjusted net income, reversing the Q1 ARS 18B loss [1][7]. ROE recovered sharply to 24.64%, well above the 15% target, reflecting the profitability inflection [6]. Forward P/E of 8.90 scores perfectly, pricing in significant Argentine macro risk but offering deep value if normalization continues. Revenue growth of 2.62% YoY is modest in USD terms, reflecting peso dynamics and IAS 29 hyperinflationary accounting distortions. NIM guidance raised to 17-19% for FY2026 [7]. D/E, PEG, and 5-year CAGR data remain unavailable and excluded — infrastructure score calculated on 5 weight units of 10 total, limiting reliability. Estimated profit margin of ~5% based on adjusted earnings. Liquidity cleared: ~1.04M avg volume x $9.71 = $10.1M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Grupo Supervielle operates with a finite mindset, heavily driven by Argentina's macroeconomic cycles rather than a transcendent purpose. Strategic decisions are responsive to Argentine monetary policy, election cycles, and inflation dynamics rather than guided by an enduring Just Cause. The 139-year operating history and founding family's continued involvement demonstrate remarkable survival instinct, and the digital transformation shows adaptability, but the lack of a distinctive cause and reactive strategy place it in finite territory.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Grupo Supervielle's mission of 'offering innovative financial solutions that improve quality of life while contributing to Argentina's economic development' has more depth than generic banking purpose, but remains interchangeable with any modern bank [3]. Founded in 1887 as Argentina's first savings and loan, the original cause of responsible banking for underserved communities has been diluted into digital transformation language. Leadership references 'customer centrality' and growth targets rather than a future state worth sacrificing for.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Adequate leadership stability — the Supervielle family's multi-generational involvement provides continuity, and the 2024 appointment of experienced banker Gustavo Manriquez (30+ years in Argentine banking) as Bank CEO brought seasoned, complementary leadership [2]. Patricio Supervielle publicly credits departing executives for their contributions, suggesting a culture of respect. However, no employee turnover, tenure, or cultural data is available, and operating in Argentina's volatile macro environment creates inherent organizational stress.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company's positioning focuses on maintaining rank ('fourth-largest private bank') and defending against fintech threats from MercadoPago and digital challengers rather than learning from rivals [1]. The ranking-based competitive frame — rather than capability-based improvement — signals finite thinking in Sinek's framework.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SUPV has adapted its model incrementally — launching crypto offerings, scaling invertirOnline as a digital investment platform, reconfiguring branch networks toward virtual relationships, and targeting digital-first customer acquisition [1][2]. The new Bank CEO's appointment specifically to drive digital strategy shows willingness to evolve leadership for a new era. However, these are evolutionary adaptations standard for Latin American banks, not transformative reinventions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Patricio Supervielle's return to lead during Argentina's 2020 economic crisis demonstrated personal commitment to the institution his family founded [2]. The company maintained digital transformation investment during hyperinflation and restructuring, absorbing ARS 17B in Q1 2026 severance charges to reposition the workforce while targeting 20-25% loan growth [1]. However, no evidence of sacrificing profitable business lines or making paradigm-challenging bets beyond following industry-standard digital banking trends.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Grupo Supervielle returned to profitability in Q2 2026 with ARS 13B attributable net income and ARS 36B adjusted net income, reversing Q1's ARS 18B loss and demonstrating the Argentine banking recovery is taking hold [7]. Revenue of $384.72M significantly beat the $219.58M consensus, and ROE has recovered sharply to 24.64% from -7.75% last quarter [6]. At 8.90x forward earnings, the stock prices in substantial Argentine macro risk but offers deep value if normalization continues — NIM guidance was raised to 17-19% for FY2026, reflecting improving credit spreads [7]. Analyst price targets of $11-$15 imply 13-55% upside from $9.71. The company's five consecutive years on BYMA's Sustainability Index and A+ ESG ranking in Latin America demonstrate institutional quality despite the challenging operating environment [5].</w:t>
      </w:r>
    </w:p>
    <w:p>
      <w:pPr>
        <w:spacing w:after="120"/>
      </w:pPr>
      <w:r>
        <w:rPr>
          <w:rFonts w:ascii="Calibri" w:hAnsi="Calibri"/>
          <w:b w:val="0"/>
          <w:color w:val="3A4A28"/>
          <w:sz w:val="20"/>
        </w:rPr>
        <w:t>The bear case centers on the fragility of the profitability recovery and Argentina's persistent macroeconomic volatility. Q2 2026 EPS of $0.1319 still missed the $0.1524 consensus, and loan growth guidance was revised down to 10-15% for FY2026 from an initial &gt;20% target, with real loan book declining 7% in H1 [7]. IAS 29 hyperinflationary accounting continues to distort reported metrics — the sharp swing from -7.75% ROE to +24.64% in one quarter illustrates the volatility of Argentine bank financials. Infrastructure scores are based on only 5 of 10 weight units due to unavailable metrics, reducing reliability. The stock's 52-week range of $4.54-$17.02 reflects extreme volatility, and competition from MercadoPago and digital-native fintechs threatens deposit and payment market share in Argentina's rapidly digitizing financial landscape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return to reported profitability (ARS 13B attributable net income) with ROE recovering to 24.64% and NIM guidance raised to 17-19%, validating the Argentine banking recovery thesis [7]</w:t>
      </w:r>
    </w:p>
    <w:p>
      <w:pPr>
        <w:spacing w:before="40" w:after="40"/>
        <w:ind w:left="283"/>
      </w:pPr>
      <w:r>
        <w:rPr>
          <w:rFonts w:ascii="Calibri" w:hAnsi="Calibri"/>
          <w:b/>
          <w:color w:val="4A6B25"/>
          <w:sz w:val="20"/>
        </w:rPr>
        <w:t xml:space="preserve">2. </w:t>
      </w:r>
      <w:r>
        <w:rPr>
          <w:rFonts w:ascii="Calibri" w:hAnsi="Calibri"/>
          <w:b w:val="0"/>
          <w:color w:val="3A4A28"/>
          <w:sz w:val="20"/>
        </w:rPr>
        <w:t>Revenue of $384.72M beating expectations by $165M in Q2 2026 demonstrates underlying earnings power that was masked by restructuring charges in prior quarters [7]</w:t>
      </w:r>
    </w:p>
    <w:p>
      <w:pPr>
        <w:spacing w:before="40" w:after="40"/>
        <w:ind w:left="283"/>
      </w:pPr>
      <w:r>
        <w:rPr>
          <w:rFonts w:ascii="Calibri" w:hAnsi="Calibri"/>
          <w:b/>
          <w:color w:val="4A6B25"/>
          <w:sz w:val="20"/>
        </w:rPr>
        <w:t xml:space="preserve">3. </w:t>
      </w:r>
      <w:r>
        <w:rPr>
          <w:rFonts w:ascii="Calibri" w:hAnsi="Calibri"/>
          <w:b w:val="0"/>
          <w:color w:val="3A4A28"/>
          <w:sz w:val="20"/>
        </w:rPr>
        <w:t>Digital ecosystem scaling — invertirOnline, crypto offerings, virtual banking — improving cost-to-income ratios and customer acquisition as Argentina's banking penetration increases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Argentine macroeconomic instability — inflation volatility, peso devaluation risk, and potential policy reversals around midterm elections could reverse reform progress and compress bank margins [1]</w:t>
      </w:r>
    </w:p>
    <w:p>
      <w:pPr>
        <w:spacing w:before="40" w:after="40"/>
        <w:ind w:left="283"/>
      </w:pPr>
      <w:r>
        <w:rPr>
          <w:rFonts w:ascii="Calibri" w:hAnsi="Calibri"/>
          <w:b/>
          <w:color w:val="4A6B25"/>
          <w:sz w:val="20"/>
        </w:rPr>
        <w:t xml:space="preserve">2. </w:t>
      </w:r>
      <w:r>
        <w:rPr>
          <w:rFonts w:ascii="Calibri" w:hAnsi="Calibri"/>
          <w:b w:val="0"/>
          <w:color w:val="3A4A28"/>
          <w:sz w:val="20"/>
        </w:rPr>
        <w:t>Profitability recovery remains fragile — Q2 EPS of $0.1319 missed the $0.1524 consensus and loan growth guidance was cut to 10-15% from &gt;20%, with real loan book declining 7% in H1 2026 [7]</w:t>
      </w:r>
    </w:p>
    <w:p>
      <w:pPr>
        <w:spacing w:before="40" w:after="40"/>
        <w:ind w:left="283"/>
      </w:pPr>
      <w:r>
        <w:rPr>
          <w:rFonts w:ascii="Calibri" w:hAnsi="Calibri"/>
          <w:b/>
          <w:color w:val="4A6B25"/>
          <w:sz w:val="20"/>
        </w:rPr>
        <w:t xml:space="preserve">3. </w:t>
      </w:r>
      <w:r>
        <w:rPr>
          <w:rFonts w:ascii="Calibri" w:hAnsi="Calibri"/>
          <w:b w:val="0"/>
          <w:color w:val="3A4A28"/>
          <w:sz w:val="20"/>
        </w:rPr>
        <w:t>Fintech competition from MercadoPago and digital-native challengers threatening deposit and payment market share in a market where digital adoption is accelerating faster than traditional bank adaptation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Argentine regional banking operates behind significant regulatory moats — banking licenses, BCRA (central bank) compliance, physical cash handling infrastructure, biometric ATM systems, and complex local regulatory requirements create structural barriers that AI cannot displace [3]. Grupo Supervielle's core revenue from loan origination, deposit gathering, treasury operations, and insurance requires local regulatory expertise and physical-world trust that AI cannot replicate. No analysts have flagged AI as a specific disruption risk to Argentine banking. However, fintech competition from MercadoPago and digital-native challengers could compress margins in payments and deposits over time [1]. AI Opportunity (0/1): No quantifiable AI revenue; the company's digital initiatives — crypto, invertirOnline, virtual banking — focus on traditional fintech capabilities rather than AI-specific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Grupo Supervielle Q1 2026 Earnings — $205.09M revenue (beat), $0.0678 EPS (missed), ARS 17B net loss, ARS 6.7B adjusted net income, revised 2026 guidance, May 2026</w:t>
      </w:r>
    </w:p>
    <w:p>
      <w:pPr>
        <w:spacing w:before="20" w:after="20"/>
        <w:ind w:left="170"/>
      </w:pPr>
      <w:r>
        <w:rPr>
          <w:rFonts w:ascii="Calibri" w:hAnsi="Calibri"/>
          <w:b/>
          <w:color w:val="4A6B25"/>
          <w:sz w:val="15"/>
        </w:rPr>
        <w:t xml:space="preserve">2. </w:t>
      </w:r>
      <w:r>
        <w:rPr>
          <w:rFonts w:ascii="Calibri" w:hAnsi="Calibri"/>
          <w:b w:val="0"/>
          <w:color w:val="3A4A28"/>
          <w:sz w:val="17"/>
        </w:rPr>
        <w:t>Grupo Supervielle leadership — CEO Gustavo Manriquez appointment (October 2024), digital strategy, invertirOnline expansion, gruposupervielle.com</w:t>
      </w:r>
    </w:p>
    <w:p>
      <w:pPr>
        <w:spacing w:before="20" w:after="20"/>
        <w:ind w:left="170"/>
      </w:pPr>
      <w:r>
        <w:rPr>
          <w:rFonts w:ascii="Calibri" w:hAnsi="Calibri"/>
          <w:b/>
          <w:color w:val="4A6B25"/>
          <w:sz w:val="15"/>
        </w:rPr>
        <w:t xml:space="preserve">3. </w:t>
      </w:r>
      <w:r>
        <w:rPr>
          <w:rFonts w:ascii="Calibri" w:hAnsi="Calibri"/>
          <w:b w:val="0"/>
          <w:color w:val="3A4A28"/>
          <w:sz w:val="17"/>
        </w:rPr>
        <w:t>Grupo Supervielle Mission and Corporate Profile — 'innovative financial solutions improving quality of life,' dcf.fm, gruposupervielle.com,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SEC Filings — SUPV insider trading activity, Morello sale of 51,000 shares, Form 3 filings, May 2026</w:t>
      </w:r>
    </w:p>
    <w:p>
      <w:pPr>
        <w:spacing w:before="20" w:after="20"/>
        <w:ind w:left="170"/>
      </w:pPr>
      <w:r>
        <w:rPr>
          <w:rFonts w:ascii="Calibri" w:hAnsi="Calibri"/>
          <w:b/>
          <w:color w:val="4A6B25"/>
          <w:sz w:val="15"/>
        </w:rPr>
        <w:t xml:space="preserve">5. </w:t>
      </w:r>
      <w:r>
        <w:rPr>
          <w:rFonts w:ascii="Calibri" w:hAnsi="Calibri"/>
          <w:b w:val="0"/>
          <w:color w:val="3A4A28"/>
          <w:sz w:val="17"/>
        </w:rPr>
        <w:t>Grupo Supervielle ESG — BYMA Sustainability Index (5 consecutive years), Institutional Investor ESG ranking, corporate governance disclosures</w:t>
      </w:r>
    </w:p>
    <w:p>
      <w:pPr>
        <w:spacing w:before="20" w:after="20"/>
        <w:ind w:left="170"/>
      </w:pPr>
      <w:r>
        <w:rPr>
          <w:rFonts w:ascii="Calibri" w:hAnsi="Calibri"/>
          <w:b/>
          <w:color w:val="4A6B25"/>
          <w:sz w:val="15"/>
        </w:rPr>
        <w:t xml:space="preserve">6. </w:t>
      </w:r>
      <w:r>
        <w:rPr>
          <w:rFonts w:ascii="Calibri" w:hAnsi="Calibri"/>
          <w:b w:val="0"/>
          <w:color w:val="3A4A28"/>
          <w:sz w:val="17"/>
        </w:rPr>
        <w:t>Yahoo Finance / StockAnalysis — SUPV key statistics, ROE 24.64%, Forward PE 8.90, trailing PE 7.83,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Grupo Supervielle Q2 2026 Earnings — $384.72M revenue (beat $219.58M by $165M), ARS 13B net income, ARS 36B adjusted net income, NIM guidance raised to 17-19%, loan growth lowered to 10-15%,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