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SUUN</w:t>
      </w:r>
      <w:r>
        <w:rPr>
          <w:rFonts w:ascii="Calibri" w:hAnsi="Calibri"/>
          <w:b/>
          <w:color w:val="1A2010"/>
          <w:sz w:val="40"/>
        </w:rPr>
        <w:t xml:space="preserve">  PowerBank Corporation</w:t>
      </w:r>
    </w:p>
    <w:p>
      <w:pPr>
        <w:spacing w:after="120"/>
      </w:pPr>
      <w:r>
        <w:rPr>
          <w:rFonts w:ascii="Calibri" w:hAnsi="Calibri"/>
          <w:b/>
          <w:color w:val="6E8450"/>
          <w:sz w:val="18"/>
        </w:rPr>
        <w:t>GROWTH SLEEVE · 2026-09-12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Renewable Energy · NASDAQ · United States</w:t>
      </w:r>
    </w:p>
    <w:p>
      <w:pPr>
        <w:spacing w:after="80"/>
      </w:pPr>
      <w:r>
        <w:rPr>
          <w:rFonts w:ascii="Calibri" w:hAnsi="Calibri"/>
          <w:b w:val="0"/>
          <w:color w:val="3A4A28"/>
          <w:sz w:val="20"/>
        </w:rPr>
        <w:t>PowerBank Corporation (formerly SolarBank Corporation, rebranded July 2025) is an independent renewable and clean energy project developer and owner focusing on distributed and community solar projects in Canada and the United States. The company develops solar photovoltaic, Battery Energy Storage System (BESS), and EV charging projects that sell electricity to utilities, commercial, industrial, municipal, and residential off-takers. Nine-month FY2026 revenue was $22.2M (vs. $23.9M prior year), with net loss narrowing to -$12.2M from -$34.7M and gross margin expanding to 35% from 25.8%. Market cap is approximately $68M.</w:t>
      </w:r>
    </w:p>
    <w:p>
      <w:r>
        <w:rPr>
          <w:rFonts w:ascii="Calibri" w:hAnsi="Calibri"/>
          <w:b/>
          <w:color w:val="6E8450"/>
          <w:sz w:val="18"/>
        </w:rPr>
        <w:t>100 Employees · https://www.powerbankcorp.com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PowerBank rebranded from SolarBank in July 2025 to reflect expansion from solar-only to include BESS and EV charging, and announced entry into space-based infrastructure and advanced data center opportunities [1]. However, these are incremental adjacencies rather than transformative product launches, and the company remains a small project developer without meaningful new product differentiation. AI Deployment (0/2): No evidence of AI-powered products, AI-driven operational efficiencies, or quantified AI cost savings. The company is a project developer deploying standard solar and battery technology. Market Share (0/2): PowerBank is a micro-cap participant in the highly fragmented North American distributed solar market with no meaningful market share leadership. The company competes against hundreds of local and regional solar developers without category-defining scale [2]. Product Pipeline (0/2): While the company has announced BESS projects in Ontario and community solar in New York, no specific next-generation products with named launch dates or quantified revenue visibility have been disclosed [1]. R&amp;D Intensity (0/1): As a project developer deploying commercially available solar and battery technology, R&amp;D spending is negligible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PowerBank's purpose of 'Building the Next Generation of Clean Energy Infrastructure' is clear and connects the company's work to the renewable energy transition — a meaningful societal cause [2]. However, the mission is not distinctively articulated relative to hundreds of other solar developers making similar claims, and the company's persistent unprofitability raises questions about whether the cause drives decisions beyond the obvious business case for renewable energy. Community Impact (0/2): Community solar projects inherently benefit local communities by providing affordable clean energy access, but no evidence of dedicated charitable giving, foundation activity, or community investment programs distinct from the core business was found. Employee Retention (0/2): No employee retention data, Glassdoor reviews, or cultural evidence is publicly available for this micro-cap company. Insider Buying (0/2): No evidence of meaningful net insider buying was identified. CEO Richard Lu has been in the role since 2014, suggesting long-term commitment, but tenure alone does not constitute insider buying evidence.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500,000 shares at a stock price of $1.44 yields daily dollar volume of ~$720,000, which falls below the $1,000,000 liquidity threshold [3]. Infrastructure is automatically scored 0 regardless of other financial metrics. For reference, underlying fundamentals are also strained: D/E of 288.5% reflects heavy leverage ($52.3M debt against only $9.95M cash), ROE is -22.0%, nine-month revenue declined 7.1% YoY ($22.2M vs. $23.9M), and the company has not achieved GAAP profitability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PowerBank shows limited infinite game characteristics for a company of its size and maturity. The clean energy mission is genuine but generic among renewable energy developers, and the company's financial fragility ($68M market cap, persistent losses, 288% D/E) constrains its ability to make long-term investments that would demonstrate infinite-minded leadership [1][3]. CEO Richard Lu's decade-long tenure provides some leadership continuity, and the promotion of Andrew van Doorn to President suggests succession planning. However, the lack of employee culture data, absence of distinctive competitive positioning, and financial survival pressures suggest a company playing to stay alive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clean energy transition is a genuine and meaningful cause, and PowerBank's community solar and BESS projects contribute to decarbonization and energy access [2]. However, the cause — building clean energy infrastructure — is shared by thousands of companies and is not distinctively articulated by PowerBank's leadership. The rebrand from SolarBank to PowerBank suggests the cause is evolving but has not been validated through crisis or multi-decade consistent execution. The company's purpose reads as a market opportunity rather than a Just Cause that people would sacrifice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Richard Lu has served since 2014 (~12 years), and Andrew van Doorn's promotion to President/COO with over 28 years of renewable energy experience suggests stable, experienced leadership with internal advancement [1]. No evidence of layoffs, cultural dysfunction, or organizational instability was found. However, no employee sentiment data (Glassdoor, retention metrics) is available for this micro-cap company to confirm positive or negative cultural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public communications focus on its own project pipeline and milestones without acknowledging competitors' strengths or framing competitive pressure as motivation for self-improvement. The renewable energy developer space is fragmented with many small players, and PowerBank has not articulated how competitive dynamics drive its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evolved from a solar-only developer (SolarBank) to a broader clean energy platform (PowerBank) encompassing BESS, EV charging, and announced interest in space-based infrastructure and data center opportunities [1]. These represent incremental market adjacencies rather than a transformative reinvention — the company is expanding its technology menu within the same clean energy project development model. The shifts were evolutionary, not existential.</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that sacrificed near-term results. The company's expansion into BESS and EV charging follows industry trends rather than leading them. The $50M ATM equity facility renewal is a standard financing mechanism, not a courageous strategic bet [3]. With the company still unprofitable and carrying 288% D/E, leadership is constrained in its ability to make the kind of costly long-term bets that would demonstrate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PowerBank operates in a structurally attractive sector — distributed solar, battery storage, and EV charging infrastructure benefit from secular decarbonization trends, growing AI data center power demand, and supportive government policy (IRA incentives). The company's gross margin expansion to 35% from 25.8% and net loss narrowing to -$12.2M from -$34.7M demonstrate operational improvement, and working capital turned positive at $10.7M [1]. CEO Richard Lu's 12-year tenure provides leadership stability, and the company's physical infrastructure assets have near-total AI immunity (score 8/10). Revenue is forecast to grow 30% annually as new BESS and community solar projects come online.</w:t>
      </w:r>
    </w:p>
    <w:p>
      <w:pPr>
        <w:spacing w:after="120"/>
      </w:pPr>
      <w:r>
        <w:rPr>
          <w:rFonts w:ascii="Calibri" w:hAnsi="Calibri"/>
          <w:b w:val="0"/>
          <w:color w:val="3A4A28"/>
          <w:sz w:val="20"/>
        </w:rPr>
        <w:t>The bear case is compelling: PowerBank is a micro-cap ($68M market cap) with a stock price of $1.44, daily dollar volume of only ~$720K (below the IOWN $1M liquidity floor), and D/E of 288.5% — creating severe liquidity, dilution, and refinancing risks [3]. Nine-month revenue declined 7.1% YoY ($22.2M vs. $23.9M), contradicting growth forecasts with actual contraction. The company remains GAAP unprofitable with -22% ROE and $52.3M in debt against only $9.95M in cash. The $50M ATM equity facility creates ongoing dilution risk for shareholders. PowerBank competes in a highly fragmented distributed solar market with no meaningful competitive moat, proprietary technology, or market share leadership. The Inspire Impact Score is not available (NOT RATED), limiting visibility for faith-aligned investors. The combination of illiquidity, leverage, declining revenue, and persistent losses warrants a SELL recommendation until the company demonstrates profitable execution and adequate trading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BESS installations in Ontario and community solar projects in New York State could drive revenue inflection if completed on schedule and interconnected to the grid [2]</w:t>
      </w:r>
    </w:p>
    <w:p>
      <w:pPr>
        <w:spacing w:before="40" w:after="40"/>
        <w:ind w:left="283"/>
      </w:pPr>
      <w:r>
        <w:rPr>
          <w:rFonts w:ascii="Calibri" w:hAnsi="Calibri"/>
          <w:b/>
          <w:color w:val="4A6B25"/>
          <w:sz w:val="20"/>
        </w:rPr>
        <w:t xml:space="preserve">2. </w:t>
      </w:r>
      <w:r>
        <w:rPr>
          <w:rFonts w:ascii="Calibri" w:hAnsi="Calibri"/>
          <w:b w:val="0"/>
          <w:color w:val="3A4A28"/>
          <w:sz w:val="20"/>
        </w:rPr>
        <w:t>Growing AI data center demand for clean energy creates a favorable macro backdrop for distributed renewable energy developers, potentially enabling PowerBank to secure power purchase agreements at higher rates</w:t>
      </w:r>
    </w:p>
    <w:p>
      <w:pPr>
        <w:spacing w:before="40" w:after="40"/>
        <w:ind w:left="283"/>
      </w:pPr>
      <w:r>
        <w:rPr>
          <w:rFonts w:ascii="Calibri" w:hAnsi="Calibri"/>
          <w:b/>
          <w:color w:val="4A6B25"/>
          <w:sz w:val="20"/>
        </w:rPr>
        <w:t xml:space="preserve">3. </w:t>
      </w:r>
      <w:r>
        <w:rPr>
          <w:rFonts w:ascii="Calibri" w:hAnsi="Calibri"/>
          <w:b w:val="0"/>
          <w:color w:val="3A4A28"/>
          <w:sz w:val="20"/>
        </w:rPr>
        <w:t>Continued gross margin expansion toward 40%+ and the path to EBITDA breakeven could re-rate the stock if the company demonstrates sustainable profitability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risk — daily dollar volume of ~$720K below the $1M IOWN threshold creates difficulty entering and exiting positions without moving the stock price, and a $68M market cap limits institutional interest [3]</w:t>
      </w:r>
    </w:p>
    <w:p>
      <w:pPr>
        <w:spacing w:before="40" w:after="40"/>
        <w:ind w:left="283"/>
      </w:pPr>
      <w:r>
        <w:rPr>
          <w:rFonts w:ascii="Calibri" w:hAnsi="Calibri"/>
          <w:b/>
          <w:color w:val="4A6B25"/>
          <w:sz w:val="20"/>
        </w:rPr>
        <w:t xml:space="preserve">2. </w:t>
      </w:r>
      <w:r>
        <w:rPr>
          <w:rFonts w:ascii="Calibri" w:hAnsi="Calibri"/>
          <w:b w:val="0"/>
          <w:color w:val="3A4A28"/>
          <w:sz w:val="20"/>
        </w:rPr>
        <w:t>Balance sheet fragility with D/E of 288.5%, $52.3M debt against $9.95M cash, and ongoing dilution from the $50M ATM equity facility threatens shareholder value and raises refinancing risk [3]</w:t>
      </w:r>
    </w:p>
    <w:p>
      <w:pPr>
        <w:spacing w:before="40" w:after="40"/>
        <w:ind w:left="283"/>
      </w:pPr>
      <w:r>
        <w:rPr>
          <w:rFonts w:ascii="Calibri" w:hAnsi="Calibri"/>
          <w:b/>
          <w:color w:val="4A6B25"/>
          <w:sz w:val="20"/>
        </w:rPr>
        <w:t xml:space="preserve">3. </w:t>
      </w:r>
      <w:r>
        <w:rPr>
          <w:rFonts w:ascii="Calibri" w:hAnsi="Calibri"/>
          <w:b w:val="0"/>
          <w:color w:val="3A4A28"/>
          <w:sz w:val="20"/>
        </w:rPr>
        <w:t>Revenue declined 7.1% YoY in the nine-month period despite bullish industry trends, suggesting company-specific execution challenges in project development, permitting, and grid interconnection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PowerBank's core business — developing, constructing, and operating physical solar, BESS, and EV charging infrastructure — is structurally immune to AI disruption. Solar panels must be physically manufactured, transported, and installed; battery storage systems require physical deployment; and electricity generated must flow through physical grid interconnections [2]. AI cannot substitute for any of these physical-world operations. Furthermore, the explosive growth of AI data centers is creating incremental demand for clean energy infrastructure, potentially making PowerBank's assets more valuable as AI adoption accelerates. The company's project permitting and utility interconnection expertise involves navigating local regulatory processes that AI cannot bypass. AI Opportunity (0/1): No evidence of AI-generated revenue. The company deploys commercially available solar and battery technology without proprietary AI-driven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NOT RATED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PowerBank Q3 FY2026 Earnings — Nine-Month Revenue $22.2M (-7.1% YoY), Net Loss -$12.2M (vs. -$34.7M), Gross Margin 35%, Working Capital $10.7M, May 2026</w:t>
      </w:r>
    </w:p>
    <w:p>
      <w:pPr>
        <w:spacing w:before="20" w:after="20"/>
        <w:ind w:left="170"/>
      </w:pPr>
      <w:r>
        <w:rPr>
          <w:rFonts w:ascii="Calibri" w:hAnsi="Calibri"/>
          <w:b/>
          <w:color w:val="4A6B25"/>
          <w:sz w:val="15"/>
        </w:rPr>
        <w:t xml:space="preserve">2. </w:t>
      </w:r>
      <w:r>
        <w:rPr>
          <w:rFonts w:ascii="Calibri" w:hAnsi="Calibri"/>
          <w:b w:val="0"/>
          <w:color w:val="3A4A28"/>
          <w:sz w:val="17"/>
        </w:rPr>
        <w:t>PowerBank Corporation Website, PR Newswire — 2025 Highlights &amp; 2026 Updates, Ontario BESS Installation, Skaneateles Community Solar Projects, Andrew van Doorn Promoted to President/COO, February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Simply Wall St, Yahoo Finance — Stock Price $1.44, Market Cap $68M, D/E 288.5%, ROE -22.0%, Avg Daily Volume ~500K,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