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w:t>
      </w:r>
      <w:r>
        <w:rPr>
          <w:rFonts w:ascii="Calibri" w:hAnsi="Calibri"/>
          <w:b/>
          <w:color w:val="1A2010"/>
          <w:sz w:val="40"/>
        </w:rPr>
        <w:t xml:space="preserve">  Suncor Energy Inc.</w:t>
      </w:r>
    </w:p>
    <w:p>
      <w:pPr>
        <w:spacing w:after="120"/>
      </w:pPr>
      <w:r>
        <w:rPr>
          <w:rFonts w:ascii="Calibri" w:hAnsi="Calibri"/>
          <w:b/>
          <w:color w:val="6E8450"/>
          <w:sz w:val="18"/>
        </w:rPr>
        <w:t>DIVIDEND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Canada</w:t>
      </w:r>
    </w:p>
    <w:p>
      <w:pPr>
        <w:spacing w:after="80"/>
      </w:pPr>
      <w:r>
        <w:rPr>
          <w:rFonts w:ascii="Calibri" w:hAnsi="Calibri"/>
          <w:b w:val="0"/>
          <w:color w:val="3A4A28"/>
          <w:sz w:val="20"/>
        </w:rPr>
        <w:t>Suncor Energy is Canada's largest integrated energy company, operating across Oil Sands, Exploration &amp; Production, and Refining &amp; Marketing segments. The company produces bitumen from Alberta oil sands, refines crude oil at four refineries, and operates the Petro-Canada retail fuel network. With TTM revenue of C$56.6B and a 15.8% profit margin, Suncor reported Q2 2026 adjusted operating earnings of $2.33 per share (beating consensus by 8.9%) on revenue approximately 47% higher YoY, driven by record refined product sales and stronger crack spreads [1].</w:t>
      </w:r>
    </w:p>
    <w:p>
      <w:r>
        <w:rPr>
          <w:rFonts w:ascii="Calibri" w:hAnsi="Calibri"/>
          <w:b/>
          <w:color w:val="6E8450"/>
          <w:sz w:val="18"/>
        </w:rPr>
        <w:t>15,424 Employees · https://www.suncor.com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Suncor has operated since 1917 and pioneered commercial oil sands extraction in Canada, delivering record financial and operating results under CEO Rich Kruger's tenure including record Q1 2026 production output [1][2]. The company's integrated model — upstream production through downstream refining and retail — provides a natural hedge against commodity price volatility. AI Deployment (0/2): No evidence of AI deployment in operations, exploration, or downstream activities; search results yielded no discussion of digital transformation, machine learning, or AI-driven operational improvements [3]. Market Share (1/2): Suncor is Canada's largest integrated oil company and largest refiner, with the Petro-Canada retail network providing dominant downstream presence, though upstream production of ~760,900 bpd in Q2 2026 was down from 808,000 bpd a year earlier [1]. Product Pipeline (0/2): Energy commodity producer with no differentiated product pipeline; growth comes from operational optimization rather than new product development. R&amp;D Intensity (1/1): Invests in extraction technology improvements and emissions reduction technology for oil sands operations, though R&amp;D spending as a percentage of revenue is well below the technology sector average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Suncor's purpose centers on providing reliable energy to Canadians and global markets — a functional mission that does not differentiate the company from any other oil producer and lacks the aspirational quality that drives strategic decision-making beyond profit maximization [3]. Community Impact (1/2): Suncor contributes significantly to the Canadian economy through employment, tax revenue, and Indigenous partnerships, but faces Greenpeace Canada regulatory complaints over climate disclosures (October 2023) and charges related to a 2019 offshore Newfoundland safety incident [4]. The company dropped stranded asset warnings from its 2023 climate report, undermining its sustainability credibility. Employee Retention (1/2): CEO succession plan from Rich Kruger to Peter Zebedee (effective September 2026) demonstrates organizational maturity, but Comparably employee ratings of D+ for leadership (bottom 25% of similar-sized companies) suggest significant workplace culture challenges [3]. Insider Buying (0/2): No evidence of meaningful insider purchasing by executives; capital returns are focused on share buybacks (boosted in Q1 2026) rather than insider conviction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(yield 2.16%, 30+ years of consecutive dividends). Suncor's financial profile is anchored by an exceptionally clean balance sheet: D/E of 30.5% (score 1.0) is one of the lowest in the integrated oil sector, while ROE of 19.3% (score 1.0) exceeds the 15% target [1]. Revenue growth YoY of 45.9% (score 1.0) was driven by record refined product sales and stronger crack spreads in Q2 2026, though the estimated 5-year revenue CAGR of approximately 7% (score 0.80) reflects oil price cyclicality. Forward P/E of 11.3x (score 1.0) provides attractive valuation, and profit margin of 15.8% (score 0.79) approaches the 20% target. Dividend metrics are strong: payout ratio of 31.6% (score 1.0) is conservative, with 30+ consecutive years of dividends paid (score 1.0, 2x weight), 5 consecutive years of growth since the 2020 COVID-era cut (score 0.5), and 5-year dividend growth CAGR of approximately 5.0% (score 0.83, 2x weight). Daily dollar volume of $327.8M provides maximum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Suncor operates with a predominantly finite mindset, focused on maximizing returns from existing oil sands assets rather than pursuing a durable cause that transcends quarterly earnings. The company's 100+ year history demonstrates staying power, but its strategic identity is anchored in a commodity extraction model with limited diversification into renewable energy or alternative business models. The planned CEO succession from Kruger to Zebedee continues operational excellence but does not signal a strategic pivot toward a more infinite orientation.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Suncor's implicit purpose — providing reliable energy through responsible oil sands development — is functional rather than aspirational and does not differentiate the company from any other oil producer [3]. The company has not articulated a durable cause that could survive the energy transition; its 'culture of excellence' language in annual reports describes operational standards rather than a reason for existing. Strategic decisions appear driven by commodity economics and shareholder returns rather than a purpose that transcends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CEO succession from Rich Kruger to Peter Zebedee demonstrates institutional maturity, and the promotion of Adam Albeldawi to EVP Upstream suggests internal talent development [3]. However, Comparably's D+ leadership rating (bottom 25% of similar-sized companies, from 210 reviews) indicates significant employee dissatisfaction with management, and the 2019 offshore safety incident that led to criminal charges raises questions about operational trust and safety culture [3][4].</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Suncor competes against Canadian Natural Resources, Cenovus, and Imperial Oil in the oil sands, and has responded to Elliott Investment Management's activist campaign by accepting board changes and accelerating operational improvements [4]. The willingness to accept external criticism and make governance changes (even under pressure) suggests some capacity to learn from competitive forces, though the primary response has been defensive.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Suncor remains fundamentally committed to oil sands extraction with minimal diversification into renewable energy or alternative business models [4]. While the integrated model (upstream through retail) provides natural hedging, it does not represent a strategic pivot. The company's removal of stranded asset warnings from its 2023 climate report suggests resistance to acknowledging the need for existential flexibility rather than embracing it. The energy transition represents an existential challenge that Suncor appears positioned to resist rather than adapt to.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Suncor has shown conviction in its core oil sands strategy despite intense ESG pressure, activist investor campaigns, and climate disclosure complaints, maintaining capital investment while boosting share buybacks in Q1 2026 [2][4]. The CEO succession plan demonstrates long-term planning. However, courage in the infinite game context means making costly bets on the future, and Suncor's reluctance to invest meaningfully in renewable energy or post-carbon capabilities suggests the courage is directed toward defending the status quo rather than building what comes next.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Suncor at $78.44 with a $92.6B market cap is Canada's premier integrated energy company delivering record operational and financial results under CEO Rich Kruger's leadership. Q2 2026 adjusted operating earnings of $2.33/share beat consensus by 8.9% on revenue approximately 47% higher YoY, driven by record refined product sales and stronger benchmark crack spreads [1]. The balance sheet is fortress-like at 30.5% D/E, the dividend yields 2.16% with a conservative 31.6% payout ratio and 32 consecutive years of payments, and shares trade at an attractive 11.3x forward earnings [1][2]. The integrated model — oil sands production hedged by refining margins — provides natural earnings stability, while the Petro-Canada retail network generates steady cash flow. CEO succession to Peter Zebedee is orderly, and boosted share buybacks in 2026 signal management confidence in sustained cash generation.</w:t>
      </w:r>
    </w:p>
    <w:p>
      <w:pPr>
        <w:spacing w:after="120"/>
      </w:pPr>
      <w:r>
        <w:rPr>
          <w:rFonts w:ascii="Calibri" w:hAnsi="Calibri"/>
          <w:b w:val="0"/>
          <w:color w:val="3A4A28"/>
          <w:sz w:val="20"/>
        </w:rPr>
        <w:t>The bear case centers on structural challenges facing oil sands producers in an energy transition world. The 45.9% YoY revenue growth is entirely driven by refining margins and pricing rather than volume growth — Q2 2026 production fell to 760,900 bpd from 808,000 bpd a year earlier [1]. Suncor's revenue is highly commodity-price-dependent, and the 3-year revenue CAGR is negative due to the 2022 oil price spike creating an unfavorable base. Greenpeace Canada's regulatory complaint over removed stranded asset warnings in the 2023 climate report, ongoing safety charges from the 2019 Newfoundland incident, and a Sustainalytics High Risk ESG rating (36.8) create ESG headwinds that could increase the cost of capital and limit institutional investor appetite [4]. The PEG ratio of 11.4x reflects the market's expectation of minimal long-term growth, and the energy transition poses an existential question about whether oil sands assets will be stranded within the next two decades. Comparably's D+ leadership rating suggests internal cultural challenges that could impede operational excellence under new CEO Peter Zebedee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refining throughput and stronger crack spreads driving Q2 2026 revenue up 47% YoY, with the integrated model providing natural hedging that supports sustained dividends and buybacks even in volatile commodity environments [1]</w:t>
      </w:r>
    </w:p>
    <w:p>
      <w:pPr>
        <w:spacing w:before="40" w:after="40"/>
        <w:ind w:left="283"/>
      </w:pPr>
      <w:r>
        <w:rPr>
          <w:rFonts w:ascii="Calibri" w:hAnsi="Calibri"/>
          <w:b/>
          <w:color w:val="4A6B25"/>
          <w:sz w:val="20"/>
        </w:rPr>
        <w:t xml:space="preserve">2. </w:t>
      </w:r>
      <w:r>
        <w:rPr>
          <w:rFonts w:ascii="Calibri" w:hAnsi="Calibri"/>
          <w:b w:val="0"/>
          <w:color w:val="3A4A28"/>
          <w:sz w:val="20"/>
        </w:rPr>
        <w:t>Orderly CEO succession from Rich Kruger to Peter Zebedee (effective September 2026) with experienced EVP Adam Albeldawi stepping into upstream leadership, maintaining operational continuity [3]</w:t>
      </w:r>
    </w:p>
    <w:p>
      <w:pPr>
        <w:spacing w:before="40" w:after="40"/>
        <w:ind w:left="283"/>
      </w:pPr>
      <w:r>
        <w:rPr>
          <w:rFonts w:ascii="Calibri" w:hAnsi="Calibri"/>
          <w:b/>
          <w:color w:val="4A6B25"/>
          <w:sz w:val="20"/>
        </w:rPr>
        <w:t xml:space="preserve">3. </w:t>
      </w:r>
      <w:r>
        <w:rPr>
          <w:rFonts w:ascii="Calibri" w:hAnsi="Calibri"/>
          <w:b w:val="0"/>
          <w:color w:val="3A4A28"/>
          <w:sz w:val="20"/>
        </w:rPr>
        <w:t>Conservative 31.6% payout ratio and fortress balance sheet (30.5% D/E) provide capacity for continued dividend growth and accelerated buybacks, with Q1 2026 buyback authorization already boosted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is entirely commodity-price-dependent with zero volume growth — Q2 2026 production fell 5.8% YoY to 760,900 bpd while revenue surged 47%, meaning any normalization of crack spreads or oil prices would sharply reduce earnings [1]</w:t>
      </w:r>
    </w:p>
    <w:p>
      <w:pPr>
        <w:spacing w:before="40" w:after="40"/>
        <w:ind w:left="283"/>
      </w:pPr>
      <w:r>
        <w:rPr>
          <w:rFonts w:ascii="Calibri" w:hAnsi="Calibri"/>
          <w:b/>
          <w:color w:val="4A6B25"/>
          <w:sz w:val="20"/>
        </w:rPr>
        <w:t xml:space="preserve">2. </w:t>
      </w:r>
      <w:r>
        <w:rPr>
          <w:rFonts w:ascii="Calibri" w:hAnsi="Calibri"/>
          <w:b w:val="0"/>
          <w:color w:val="3A4A28"/>
          <w:sz w:val="20"/>
        </w:rPr>
        <w:t>ESG headwinds intensifying: Greenpeace climate disclosure complaint, Sustainalytics High Risk rating (36.8), safety charges from 2019 incident, and removed stranded asset warnings collectively increase institutional investor caution and cost of capital [4]</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risk to oil sands assets, which have among the highest extraction costs and carbon intensities globally, creating potential stranded asset exposure within 10-20 years that the company appears unwilling to acknowledge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Suncor's core business — extracting bitumen from oil sands, refining crude oil, and selling fuel through retail stations — is inherently physical and capital-intensive, making it structurally immune to AI substitution [1]. The regulatory environment, capital requirements ($20B+ in physical assets), and geological expertise required for oil sands operations create barriers that AI cannot disrupt. The Petro-Canada retail network is protected by location-based consumer demand that no digital technology can replace. The energy transition (electrification, renewables) is a far greater existential threat than AI. However, AI-enabled competitors could optimize operations, reduce extraction costs, and improve ESG compliance monitoring more effectively. AI Opportunity (0/1): No evidence of AI deployment for predictive maintenance, exploration optimization, or operational efficiency; the company's technology investments appear focused on extraction and emissions reduction rather than AI capabilities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Suncor Energy Q2 2026 — Adj Operating EPS $2.33 (Beat Consensus by 8.9%), Revenue ~C$12.7B (+47% YoY), Record Refined Product Sales — Zacks, CTV News, August 2026</w:t>
      </w:r>
    </w:p>
    <w:p>
      <w:pPr>
        <w:spacing w:before="20" w:after="20"/>
        <w:ind w:left="170"/>
      </w:pPr>
      <w:r>
        <w:rPr>
          <w:rFonts w:ascii="Calibri" w:hAnsi="Calibri"/>
          <w:b/>
          <w:color w:val="4A6B25"/>
          <w:sz w:val="15"/>
        </w:rPr>
        <w:t xml:space="preserve">2. </w:t>
      </w:r>
      <w:r>
        <w:rPr>
          <w:rFonts w:ascii="Calibri" w:hAnsi="Calibri"/>
          <w:b w:val="0"/>
          <w:color w:val="3A4A28"/>
          <w:sz w:val="17"/>
        </w:rPr>
        <w:t>Suncor Energy Q1 2026 — Revenue ~C$10.4B (+20% YoY), Diluted EPS $1.41 (+55% YoY), Record Q1 Production, Boosted Share Buybacks —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Suncor Energy Leadership — CEO Rich Kruger Succession to Peter Zebedee (Sept 2026), Comparably D+ Leadership Rating — Newsfile, Comparably, August 2026</w:t>
      </w:r>
    </w:p>
    <w:p>
      <w:pPr>
        <w:spacing w:before="20" w:after="20"/>
        <w:ind w:left="170"/>
      </w:pPr>
      <w:r>
        <w:rPr>
          <w:rFonts w:ascii="Calibri" w:hAnsi="Calibri"/>
          <w:b/>
          <w:color w:val="4A6B25"/>
          <w:sz w:val="15"/>
        </w:rPr>
        <w:t xml:space="preserve">4. </w:t>
      </w:r>
      <w:r>
        <w:rPr>
          <w:rFonts w:ascii="Calibri" w:hAnsi="Calibri"/>
          <w:b w:val="0"/>
          <w:color w:val="3A4A28"/>
          <w:sz w:val="17"/>
        </w:rPr>
        <w:t>Suncor Energy ESG — Greenpeace Climate Disclosure Complaint (Oct 2023), Sustainalytics High Risk Rating (36.8), Safety Charges from 2019 Offshore Incident — Globe and Mail, Boereport, Sustainalytics,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