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SVC</w:t>
      </w:r>
      <w:r>
        <w:rPr>
          <w:rFonts w:ascii="Calibri" w:hAnsi="Calibri"/>
          <w:b/>
          <w:color w:val="1A2010"/>
          <w:sz w:val="40"/>
        </w:rPr>
        <w:t xml:space="preserve">  Service Properties Trust</w:t>
      </w:r>
    </w:p>
    <w:p>
      <w:pPr>
        <w:spacing w:after="120"/>
      </w:pPr>
      <w:r>
        <w:rPr>
          <w:rFonts w:ascii="Calibri" w:hAnsi="Calibri"/>
          <w:b/>
          <w:color w:val="6E8450"/>
          <w:sz w:val="18"/>
        </w:rPr>
        <w:t>DIVIDEND SLEEVE · 2026-09-17 · Inspire: 61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Hotel &amp; Motel · NASDAQ · United States</w:t>
      </w:r>
    </w:p>
    <w:p>
      <w:pPr>
        <w:spacing w:after="80"/>
      </w:pPr>
      <w:r>
        <w:rPr>
          <w:rFonts w:ascii="Calibri" w:hAnsi="Calibri"/>
          <w:b w:val="0"/>
          <w:color w:val="3A4A28"/>
          <w:sz w:val="20"/>
        </w:rPr>
        <w:t>Service Properties Trust is a diversified REIT with $9.7B invested across 745 service-focused retail net-lease properties (13.5M+ sq ft) and 93 hotels (21,000+ guest rooms) in the U.S., Puerto Rico, and Canada. Externally managed by The RMR Group since 1995, SVC has no direct employees and has executed an aggressive hotel-disposition program — selling 112 hotels for nearly $860M in 2025, including 66 hotels for $534M in Q4 alone — to repair a balance sheet strained by elevated leverage and post-pandemic hotel operating losses.</w:t>
      </w:r>
    </w:p>
    <w:p>
      <w:r>
        <w:rPr>
          <w:rFonts w:ascii="Calibri" w:hAnsi="Calibri"/>
          <w:b/>
          <w:color w:val="6E8450"/>
          <w:sz w:val="18"/>
        </w:rPr>
        <w:t>https://www.svcreit.com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(0/2): SVC's primary strategic activity is portfolio disposition — selling 112 hotels for ~$860M in 2025 — which is balance-sheet repair, not innovation or growth [1]. AI Deployment (0/1): No evidence of AI deployment at the REIT level was found; property-level revenue management technology is controlled by third-party hotel brand operators and managers, not SVC directly. Market Share (0/1): SVC is shrinking its hotel portfolio, the opposite of gaining share, though its remaining hotels posted a 70bp RevPAR outperformance versus the broader industry for a fifth consecutive quarter, a modest positive signal on asset quality [1]. Pipeline/R&amp;D (1/1): 2026 guidance of $124-144M hotel EBITDA and continued net-lease/hotel portfolio rebalancing reflects an active, if defensive, capital-allocation program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SVC's purpose — owning service-focused retail and hotel real estate — is a functional description with no distinctive articulation beyond standard REIT positioning. Community Impact (1/2): External manager RMR has published sustainability reporting and received EPA ENERGY STAR Partner of the Year recognition at the platform level, which extends indirectly to SVC's managed properties, though no SVC-specific community impact data was found [2][3]. Employee Retention (0/2): SVC has no direct employees (externally managed by RMR), and CEO Chris Bilotto's tenure since March 2025 is under two years, limiting evidence of leadership continuity. Insider Buying (1/2): RMR Group's disclosed acquisition of a significant SVC share stake (13D filing) signals some insider/affiliate confidence, though the externally-managed structure means this is not independent third-party insider buying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dividend-sleeve weighting (Consecutive Years Paid and 5yr Dividend Growth CAGR at 2x weight). Nearly every metric scores at or near zero: D/E of 567.8% is far beyond the 300% floor (score 0), ROE of -56.3% and profit margin of -25.4% both breach the 0% floor (score 0 each), forward P/E is negative — implying expected forward losses, treated as a floor breach (score 0) — and a 466.7% payout ratio, distributing cash well beyond GAAP earnings, scores 0 against the 100% floor [1][4]. Revenue fell 16.4% YoY against a -20% floor (score ~0.12), and an estimated -4% 5-year revenue CAGR (reflecting the ongoing multi-year hotel-disposition program) scores modestly (~0.07). The only meaningful credit comes from an estimated 5 consecutive years of dividend payment following the pandemic-era suspension and reinstatement (score 0.5, 2x weight) [1]. The blended score rounds to approximately 1/10, consistent with a REIT in active balance-sheet distress. Average daily dollar volume of ~$12.0M clears the liquidity floor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Service Properties Trust is in active balance-sheet triage — selling 112 hotels for ~$860M in 2025 to delever after a 4.3% revenue decline and a $202.3M net loss — a defensive posture rather than a purpose-driven long game. The external-management structure under RMR, controlled by Chair Adam Portnoy (who also chairs RMR Inc. itself), creates a persistent related-party governance overhang, and CEO Chris Bilotto's tenure since March 2025 is too brief to demonstrate durable strategic conviction.</w:t>
      </w:r>
    </w:p>
    <w:p>
      <w:pPr>
        <w:spacing w:before="200" w:after="40"/>
      </w:pPr>
      <w:r>
        <w:rPr>
          <w:rFonts w:ascii="Calibri" w:hAnsi="Calibri"/>
          <w:b/>
          <w:color w:val="1A2010"/>
          <w:sz w:val="22"/>
        </w:rPr>
        <w:t>Just Cause</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partial credit): SVC's purpose is generically financial — owning and optimizing a mixed hotel/net-lease portfolio for unitholder returns — with no distinctive cause beyond standard REIT stewardship, and the current disposition program is explicitly reactive to balance-sheet stress rather than mission-driven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partial credit): SVC has no direct employees and is externally managed by RMR under a structure where Chair Adam Portnoy simultaneously controls RMR Inc. itself — a related-party governance arrangement that structurally limits independent board-management trust dynamics regardless of individual competence [3].</w:t>
      </w:r>
    </w:p>
    <w:p>
      <w:pPr>
        <w:spacing w:before="200" w:after="40"/>
      </w:pPr>
      <w:r>
        <w:rPr>
          <w:rFonts w:ascii="Calibri" w:hAnsi="Calibri"/>
          <w:b/>
          <w:color w:val="1A2010"/>
          <w:sz w:val="22"/>
        </w:rPr>
        <w:t>Worthy Rivals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partial credit): Peer hospitality REITs (Host Hotels, Park Hotels &amp; Resorts, RLJ Lodging) operate with lower leverage and less related-party complexity; SVC's disposition program is a catch-up response to balance-sheet pressure rather than proactive competitive benchmarking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partial credit): The sale of 112 hotels for nearly $860M in 2025, alongside $1.6B in year-to-date capital markets activity, represents real adaptive action to reposition the balance sheet, even though it was undertaken from a position of financial necessity rather than proactive strategic choice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partial credit): Accepting a $202.3M net loss while executing a painful multi-year asset-disposition program shows some willingness to absorb near-term pain for balance-sheet health, but the program was forced by leverage and post-pandemic hotel performance rather than chosen from strength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Service Properties Trust's hotel portfolio has outperformed the broader industry on RevPAR for five consecutive quarters, and management's aggressive 2025 disposition program — 112 hotels sold for nearly $860M, including 66 hotels for $534M in Q4 alone — plus $1.6B in year-to-date 2026 capital markets activity is beginning to de-risk a balance sheet that had become dangerously overleveraged [1]. A 3.02% dividend yield, reinstated after the pandemic-era suspension, offers income for investors willing to underwrite a multi-year turnaround, and 2026 guidance of $124-144M hotel EBITDA provides a baseline for monitoring recovery progress [1].</w:t>
      </w:r>
    </w:p>
    <w:p>
      <w:pPr>
        <w:spacing w:after="120"/>
      </w:pPr>
      <w:r>
        <w:rPr>
          <w:rFonts w:ascii="Calibri" w:hAnsi="Calibri"/>
          <w:b w:val="0"/>
          <w:color w:val="3A4A28"/>
          <w:sz w:val="20"/>
        </w:rPr>
        <w:t>The overwhelming case is caution bordering on sell: D/E of 567.8%, ROE of -56.3%, and a profit margin of -25.4% reflect a REIT still generating GAAP losses ($202.3M in 2025) even after substantial deleveraging, while a 466.7% payout ratio means the dividend is being funded well beyond current earnings [1][4]. The externally-managed structure under RMR — where Chair Adam Portnoy simultaneously controls RMR Inc., the manager collecting fees from SVC — creates a persistent related-party governance overhang that has drawn sustained analyst criticism industry-wide. Revenue fell 4.3% in 2025 and Q1 2026 revenue of $364.5M was down from $435.2M a year earlier, showing the disposition program is shrinking the earnings base faster than remaining assets can offset, and a negative forward P/E signals consensus expects continued losses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execution of the hotel-disposition program (112 hotels sold for ~$860M in 2025) could further delever the balance sheet and stabilize per-share metrics if proceeds are redeployed into debt reduction [1]</w:t>
      </w:r>
    </w:p>
    <w:p>
      <w:pPr>
        <w:spacing w:before="40" w:after="40"/>
        <w:ind w:left="283"/>
      </w:pPr>
      <w:r>
        <w:rPr>
          <w:rFonts w:ascii="Calibri" w:hAnsi="Calibri"/>
          <w:b/>
          <w:color w:val="4A6B25"/>
          <w:sz w:val="20"/>
        </w:rPr>
        <w:t xml:space="preserve">2. </w:t>
      </w:r>
      <w:r>
        <w:rPr>
          <w:rFonts w:ascii="Calibri" w:hAnsi="Calibri"/>
          <w:b w:val="0"/>
          <w:color w:val="3A4A28"/>
          <w:sz w:val="20"/>
        </w:rPr>
        <w:t>Five consecutive quarters of RevPAR outperformance versus the broader hotel industry suggests the remaining, more concentrated portfolio may be of higher relative quality [1]</w:t>
      </w:r>
    </w:p>
    <w:p>
      <w:pPr>
        <w:spacing w:before="40" w:after="40"/>
        <w:ind w:left="283"/>
      </w:pPr>
      <w:r>
        <w:rPr>
          <w:rFonts w:ascii="Calibri" w:hAnsi="Calibri"/>
          <w:b/>
          <w:color w:val="4A6B25"/>
          <w:sz w:val="20"/>
        </w:rPr>
        <w:t xml:space="preserve">3. </w:t>
      </w:r>
      <w:r>
        <w:rPr>
          <w:rFonts w:ascii="Calibri" w:hAnsi="Calibri"/>
          <w:b w:val="0"/>
          <w:color w:val="3A4A28"/>
          <w:sz w:val="20"/>
        </w:rPr>
        <w:t>2026 guidance of $124-144M hotel EBITDA with RevPAR of $108-113 provides a monitorable recovery baseline if leisure and group demand momentum continues into 2026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567.8% combined with continued GAAP net losses (-$202.3M in 2025) and a negative forward P/E indicate the balance sheet remains fragile despite the 2025 disposition program [1][4]</w:t>
      </w:r>
    </w:p>
    <w:p>
      <w:pPr>
        <w:spacing w:before="40" w:after="40"/>
        <w:ind w:left="283"/>
      </w:pPr>
      <w:r>
        <w:rPr>
          <w:rFonts w:ascii="Calibri" w:hAnsi="Calibri"/>
          <w:b/>
          <w:color w:val="4A6B25"/>
          <w:sz w:val="20"/>
        </w:rPr>
        <w:t xml:space="preserve">2. </w:t>
      </w:r>
      <w:r>
        <w:rPr>
          <w:rFonts w:ascii="Calibri" w:hAnsi="Calibri"/>
          <w:b w:val="0"/>
          <w:color w:val="3A4A28"/>
          <w:sz w:val="20"/>
        </w:rPr>
        <w:t>A 466.7% payout ratio means the 3.02% dividend is not covered by GAAP earnings, creating risk of a further dividend cut if hotel operating performance or asset sale proceeds disappoint [4]</w:t>
      </w:r>
    </w:p>
    <w:p>
      <w:pPr>
        <w:spacing w:before="40" w:after="40"/>
        <w:ind w:left="283"/>
      </w:pPr>
      <w:r>
        <w:rPr>
          <w:rFonts w:ascii="Calibri" w:hAnsi="Calibri"/>
          <w:b/>
          <w:color w:val="4A6B25"/>
          <w:sz w:val="20"/>
        </w:rPr>
        <w:t xml:space="preserve">3. </w:t>
      </w:r>
      <w:r>
        <w:rPr>
          <w:rFonts w:ascii="Calibri" w:hAnsi="Calibri"/>
          <w:b w:val="0"/>
          <w:color w:val="3A4A28"/>
          <w:sz w:val="20"/>
        </w:rPr>
        <w:t>External management by RMR under Chair Adam Portnoy, who simultaneously controls RMR Inc., creates a structural related-party conflict-of-interest overhang on capital allocation and management fee decisions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As a real estate owner rather than an operator, SVC's hotels and net-lease tenants are managed by third-party brands and operating companies, insulating the REIT itself from direct AI substitution risk, though AI-driven dynamic pricing and booking disintermediation at the hotel-operator level could indirectly pressure RevPAR and therefore participating-lease income over time [1]. AI Opportunity (1/1): No SVC-specific AI initiative was identified, but the asset-light, externally-managed REIT structure means AI-driven efficiency gains at the operator and manager (RMR) level can flow through to property-level performance without direct capital investment by SVC.</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Service Properties Trust Q4 2025 and Q1 2026 Earnings Releases and 8-K filings — SEC EDGAR, Yahoo Finance, Intellectia.ai, 2026</w:t>
      </w:r>
    </w:p>
    <w:p>
      <w:pPr>
        <w:spacing w:before="20" w:after="20"/>
        <w:ind w:left="170"/>
      </w:pPr>
      <w:r>
        <w:rPr>
          <w:rFonts w:ascii="Calibri" w:hAnsi="Calibri"/>
          <w:b/>
          <w:color w:val="4A6B25"/>
          <w:sz w:val="15"/>
        </w:rPr>
        <w:t xml:space="preserve">2. </w:t>
      </w:r>
      <w:r>
        <w:rPr>
          <w:rFonts w:ascii="Calibri" w:hAnsi="Calibri"/>
          <w:b w:val="0"/>
          <w:color w:val="3A4A28"/>
          <w:sz w:val="17"/>
        </w:rPr>
        <w:t>Service Properties Trust and RMR Group leadership disclosures — MarketScreener, StockTitan, Nareit, 2025-2026</w:t>
      </w:r>
    </w:p>
    <w:p>
      <w:pPr>
        <w:spacing w:before="20" w:after="20"/>
        <w:ind w:left="170"/>
      </w:pPr>
      <w:r>
        <w:rPr>
          <w:rFonts w:ascii="Calibri" w:hAnsi="Calibri"/>
          <w:b/>
          <w:color w:val="4A6B25"/>
          <w:sz w:val="15"/>
        </w:rPr>
        <w:t xml:space="preserve">3. </w:t>
      </w:r>
      <w:r>
        <w:rPr>
          <w:rFonts w:ascii="Calibri" w:hAnsi="Calibri"/>
          <w:b w:val="0"/>
          <w:color w:val="3A4A28"/>
          <w:sz w:val="17"/>
        </w:rPr>
        <w:t>RMR Group governance and related-party structure — Business Model Mastery, SVC Investor Relations, SEC filings,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StockAnalysis.com — SVC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