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SVM</w:t>
      </w:r>
      <w:r>
        <w:rPr>
          <w:rFonts w:ascii="Calibri" w:hAnsi="Calibri"/>
          <w:b/>
          <w:color w:val="1A2010"/>
          <w:sz w:val="40"/>
        </w:rPr>
        <w:t xml:space="preserve">  Silvercorp Metals Inc.</w:t>
      </w:r>
    </w:p>
    <w:p>
      <w:pPr>
        <w:spacing w:after="120"/>
      </w:pPr>
      <w:r>
        <w:rPr>
          <w:rFonts w:ascii="Calibri" w:hAnsi="Calibri"/>
          <w:b/>
          <w:color w:val="6E8450"/>
          <w:sz w:val="18"/>
        </w:rPr>
        <w:t>GROWTH SLEEVE · 2026-10-16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Basic Materials · Silver Mining · NYSE · Canada</w:t>
      </w:r>
    </w:p>
    <w:p>
      <w:pPr>
        <w:spacing w:after="80"/>
      </w:pPr>
      <w:r>
        <w:rPr>
          <w:rFonts w:ascii="Calibri" w:hAnsi="Calibri"/>
          <w:b w:val="0"/>
          <w:color w:val="3A4A28"/>
          <w:sz w:val="20"/>
        </w:rPr>
        <w:t>Silvercorp Metals is a Canadian mid-tier silver mining company with primary operations in China's Henan and Guangdong provinces, and development projects in Ecuador (El Domo copper-gold) and Kyrgyzstan. Founded in 2003 by Dr. Rui Feng, the company reported record fiscal 2026 revenue of $438.1M (+47% YoY) driven by a 72% surge in realized silver prices, with adjusted net income of $150.8M ($0.69/share) and operating cash flow of $310.6M. GAAP net income swung to a $9.9M loss due to a $60M non-cash derivative charge on convertible notes.</w:t>
      </w:r>
    </w:p>
    <w:p>
      <w:r>
        <w:rPr>
          <w:rFonts w:ascii="Calibri" w:hAnsi="Calibri"/>
          <w:b/>
          <w:color w:val="6E8450"/>
          <w:sz w:val="18"/>
        </w:rPr>
        <w:t>5,700 Employees · https://silvercorpmetals.com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Silvercorp completed the acquisition of Adventus Mining in 2024, gaining the El Domo copper-gold project in Ecuador and adding geographic and commodity diversification beyond its core Chinese silver operations [1]. The Kuya Silver acquisition further expanded the South American footprint, but these are incremental mining asset acquisitions rather than transformative business pivots. AI Deployment (0/2): No evidence of AI-powered products or quantified AI-driven operational savings in mining operations [2]. Market Share (0/2): Silvercorp is a mid-tier silver producer globally, not a category leader; the company produced approximately 6.5 million ounces of silver in FY2026, a fraction of top producers like Fresnillo or Pan American Silver [1]. Product Pipeline (1/2): The El Domo project in Ecuador is advancing toward production, and FY2027 guidance calls for ore processing of 1.53-1.61 million tonnes with silver output of 6.8-7.1 million ounces, providing near-term production growth visibility [1][2]. R&amp;D Intensity (0/1): Exploration expenditures are the mining equivalent of R&amp;D, and Silvercorp's exploration spending appears average relative to mid-tier mining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Silvercorp's public messaging centers on being a 'low-cost silver producer' — a functional description of operations rather than a distinctive purpose. No articulated mission statement connects the company's work to a larger cause beyond resource extraction and shareholder returns [3]. Community Impact (1/2): The company published its F2026 Sustainability Report identifying 27 material ESG issues, maintains ISO certifications in environmental, energy, and occupational health and safety management across all operating mines, and reported zero significant environmental incidents in recent fiscal years [4]. These are credible but standard mining industry practices rather than distinctive community investment. Employee Retention (0/2): Management team average tenure of 2.5 years is notably short, though board of directors tenure averages 14.1 years, suggesting leadership continuity at the governance level but instability in operational management [3]. Insider Buying (0/2): No evidence of meaningful net insider buying by Dr. Rui Feng or other executives in the last 12 months; Feng remains a significant shareholder as founder but recent transaction data was not available.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on limited available metrics due to yfinance API limitations. Revenue growth of 47% YoY significantly exceeds the 10% target (score 1.0), driven by record revenue of $438.1M as realized silver prices surged 72% [1][2]. GAAP profit margin of -2.3% (score 0.0) reflects a $60M non-cash derivative charge on convertible notes that masked otherwise strong operational profitability — adjusted net income was $150.8M with a 34.4% adjusted margin, and operating cash flow reached $310.6M [1]. Daily dollar volume of approximately $21.8M provides adequate liquidity well above the $1M floor. Most financial metrics (D/E, ROE, Forward P/E, PEG) were unavailable from data sources, limiting scoring precision to 2 of 10 possible growth stock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Silvercorp operates as a finite-minded resource extraction company optimized for efficient silver production and cost control rather than a cause-driven enterprise. Dr. Rui Feng's 20+ year leadership provides operational continuity, and geographic expansion into Ecuador and Kyrgyzstan shows strategic adaptability, but the company's competitive language centers on cost leadership and production targets — classic finite game metrics. There is no articulated Just Cause beyond silver production, no evidence of leadership sacrificing near-term results for long-term capability, and the short management team tenure suggests organizational instability below the board level.</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Silvercorp exists to mine silver profitably. There is no articulated vision of a future state beyond resource extraction — no purpose statement that transcends the commodity business. The company's public communications focus entirely on production volumes, cost metrics, and reserve growth, which are the hallmarks of a finite player optimizing for current results [1][3].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Board of directors average tenure of 14.1 years provides governance stability, and Dr. Rui Feng's continuous leadership since founding in 2003 creates top-level continuity [3]. However, management team average tenure of only 2.5 years is concerning and suggests either high turnover at the operational level or recent organizational restructuring. No specific employee satisfaction data, voluntary turnover rates, or cultural practices were available to assess the internal Circle of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that Silvercorp frames competition through a lens of self-improvement. The company's competitive positioning focuses on cost advantages and production efficiency relative to peers — standard finite competitive language in the mining sector. No management commentary references learning from rivals or using competitive pressure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Silvercorp has evolved from a China-only silver miner to a multi-jurisdiction operator through the Adventus Mining acquisition (Ecuador) and Kyrgyzstan project development [1]. This geographic diversification reduces concentration risk and demonstrates strategic adaptability. However, the core business remains precious metals mining — the pivot is incremental (new geographies) rather than transformative (new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Dr. Rui Feng transformed Silvercorp from a junior exploration company into a profitable mid-tier silver producer over two decades, demonstrating long-term strategic commitment [3]. The acquisition of Adventus Mining and El Domo project represents a meaningful bet on geographic diversification. However, these investments were made during favorable silver price conditions rather than counter-cyclical courage, and the $60M non-cash derivative charge from convertible notes suggests financial structuring risk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Silvercorp at $9.76 with a $2.2B market cap is a silver-leveraged play benefiting from surging precious metals prices — FY2026 revenue hit a record $438.1M (+47% YoY) driven by a 72% increase in realized silver prices, adjusted net income reached $150.8M ($0.69/share), and operating cash flow surged to $310.6M [1][2]. The El Domo copper-gold project in Ecuador adds commodity diversification and a growth runway, while FY2027 guidance for 6.8-7.1 million ounces of silver production and ore processing of 1.53-1.61 million tonnes provides near-term visibility. The company's low-cost Chinese operations and expanding multi-jurisdiction portfolio position it to capture further upside if silver prices remain elevated.</w:t>
      </w:r>
    </w:p>
    <w:p>
      <w:pPr>
        <w:spacing w:after="120"/>
      </w:pPr>
      <w:r>
        <w:rPr>
          <w:rFonts w:ascii="Calibri" w:hAnsi="Calibri"/>
          <w:b w:val="0"/>
          <w:color w:val="3A4A28"/>
          <w:sz w:val="20"/>
        </w:rPr>
        <w:t>The bear case centers on commodity price dependence and geographic concentration risk. The 47% revenue surge was almost entirely driven by higher silver prices rather than volume growth, making earnings highly volatile if silver retreats from current levels [1]. GAAP net income swung to a $9.9M loss due to a $60M non-cash derivative charge on convertible notes, highlighting financial structuring risks from the debt used to fund acquisitions [2]. Operations remain heavily concentrated in China (Henan and Guangdong provinces), exposing the company to Chinese regulatory, environmental, and geopolitical risks. The management team's short average tenure of 2.5 years raises operational continuity concerns, and the El Domo project in Ecuador carries development-stage execution risk in a politically complex jurisdiction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elevated silver prices — realized silver prices surged 72% in FY2026, and continued monetary policy easing, industrial demand from AI data centers and solar panels, and safe-haven flows could maintain or extend the rally [1]</w:t>
      </w:r>
    </w:p>
    <w:p>
      <w:pPr>
        <w:spacing w:before="40" w:after="40"/>
        <w:ind w:left="283"/>
      </w:pPr>
      <w:r>
        <w:rPr>
          <w:rFonts w:ascii="Calibri" w:hAnsi="Calibri"/>
          <w:b/>
          <w:color w:val="4A6B25"/>
          <w:sz w:val="20"/>
        </w:rPr>
        <w:t xml:space="preserve">2. </w:t>
      </w:r>
      <w:r>
        <w:rPr>
          <w:rFonts w:ascii="Calibri" w:hAnsi="Calibri"/>
          <w:b w:val="0"/>
          <w:color w:val="3A4A28"/>
          <w:sz w:val="20"/>
        </w:rPr>
        <w:t>El Domo copper-gold project advancement — production commencement in Ecuador adds a second commodity stream and reduces dependence on Chinese silver operations [1][2]</w:t>
      </w:r>
    </w:p>
    <w:p>
      <w:pPr>
        <w:spacing w:before="40" w:after="40"/>
        <w:ind w:left="283"/>
      </w:pPr>
      <w:r>
        <w:rPr>
          <w:rFonts w:ascii="Calibri" w:hAnsi="Calibri"/>
          <w:b/>
          <w:color w:val="4A6B25"/>
          <w:sz w:val="20"/>
        </w:rPr>
        <w:t xml:space="preserve">3. </w:t>
      </w:r>
      <w:r>
        <w:rPr>
          <w:rFonts w:ascii="Calibri" w:hAnsi="Calibri"/>
          <w:b w:val="0"/>
          <w:color w:val="3A4A28"/>
          <w:sz w:val="20"/>
        </w:rPr>
        <w:t>FY2027 production growth guidance of 6.8-7.1M silver ounces with ore processing expanding to 1.53-1.61M tonnes signals organic volume growth alongside price-driven revenue gains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Silver price reversal — the 47% revenue surge was driven primarily by a 72% increase in realized silver prices rather than production growth, making earnings extremely sensitive to commodity price declines [1]</w:t>
      </w:r>
    </w:p>
    <w:p>
      <w:pPr>
        <w:spacing w:before="40" w:after="40"/>
        <w:ind w:left="283"/>
      </w:pPr>
      <w:r>
        <w:rPr>
          <w:rFonts w:ascii="Calibri" w:hAnsi="Calibri"/>
          <w:b/>
          <w:color w:val="4A6B25"/>
          <w:sz w:val="20"/>
        </w:rPr>
        <w:t xml:space="preserve">2. </w:t>
      </w:r>
      <w:r>
        <w:rPr>
          <w:rFonts w:ascii="Calibri" w:hAnsi="Calibri"/>
          <w:b w:val="0"/>
          <w:color w:val="3A4A28"/>
          <w:sz w:val="20"/>
        </w:rPr>
        <w:t>China concentration and geopolitical risk — the majority of operations are in Chinese provinces, exposing the company to regulatory changes, environmental enforcement, and US-China geopolitical tensions that could affect capital flows or operations [3]</w:t>
      </w:r>
    </w:p>
    <w:p>
      <w:pPr>
        <w:spacing w:before="40" w:after="40"/>
        <w:ind w:left="283"/>
      </w:pPr>
      <w:r>
        <w:rPr>
          <w:rFonts w:ascii="Calibri" w:hAnsi="Calibri"/>
          <w:b/>
          <w:color w:val="4A6B25"/>
          <w:sz w:val="20"/>
        </w:rPr>
        <w:t xml:space="preserve">3. </w:t>
      </w:r>
      <w:r>
        <w:rPr>
          <w:rFonts w:ascii="Calibri" w:hAnsi="Calibri"/>
          <w:b w:val="0"/>
          <w:color w:val="3A4A28"/>
          <w:sz w:val="20"/>
        </w:rPr>
        <w:t>Acquisition integration and development execution risk — the El Domo project in Ecuador is still in development, and the Adventus Mining acquisition added financial complexity including convertible notes that generated a $60M non-cash derivative charge in Q4 FY2026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Silver mining is a physical-world extraction business that AI structurally cannot displace — finding, extracting, and processing precious metals from underground mines requires heavy machinery, geological expertise, and on-the-ground operations that no software can replicate [1]. Growing demand for AI data center infrastructure increases consumption of silver in electronics, solar panels, and industrial applications, making silver producers indirect beneficiaries of the AI buildout. Silvercorp's operations in Chinese underground mines with complex geological conditions further insulate against automation risk. AI Opportunity (0/1): Silvercorp generates no revenue from AI-related products or services; the company has not disclosed any AI-driven operational optimization programs.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Silvercorp Metals FY2026 Annual Results — Record Revenue $438.1M (+47% YoY), Adjusted Net Income $150.8M, Operating Cash Flow $310.6M, SEC Form 6-K, 2026</w:t>
      </w:r>
    </w:p>
    <w:p>
      <w:pPr>
        <w:spacing w:before="20" w:after="20"/>
        <w:ind w:left="170"/>
      </w:pPr>
      <w:r>
        <w:rPr>
          <w:rFonts w:ascii="Calibri" w:hAnsi="Calibri"/>
          <w:b/>
          <w:color w:val="4A6B25"/>
          <w:sz w:val="15"/>
        </w:rPr>
        <w:t xml:space="preserve">2. </w:t>
      </w:r>
      <w:r>
        <w:rPr>
          <w:rFonts w:ascii="Calibri" w:hAnsi="Calibri"/>
          <w:b w:val="0"/>
          <w:color w:val="3A4A28"/>
          <w:sz w:val="17"/>
        </w:rPr>
        <w:t>Silvercorp Metals Q4 FY2026 Earnings Call — Record quarterly revenue ~$147M, $60M non-cash derivative charge, FY2027 guidance 6.8-7.1M oz silver, Barchart/Nasdaq, 2026</w:t>
      </w:r>
    </w:p>
    <w:p>
      <w:pPr>
        <w:spacing w:before="20" w:after="20"/>
        <w:ind w:left="170"/>
      </w:pPr>
      <w:r>
        <w:rPr>
          <w:rFonts w:ascii="Calibri" w:hAnsi="Calibri"/>
          <w:b/>
          <w:color w:val="4A6B25"/>
          <w:sz w:val="15"/>
        </w:rPr>
        <w:t xml:space="preserve">3. </w:t>
      </w:r>
      <w:r>
        <w:rPr>
          <w:rFonts w:ascii="Calibri" w:hAnsi="Calibri"/>
          <w:b w:val="0"/>
          <w:color w:val="3A4A28"/>
          <w:sz w:val="17"/>
        </w:rPr>
        <w:t>Silvercorp Metals Corporate Profile — CEO Dr. Rui Feng (founder since 2003), management tenure 2.5 years, board tenure 14.1 years, Simply Wall St/Yahoo Finance, 2026</w:t>
      </w:r>
    </w:p>
    <w:p>
      <w:pPr>
        <w:spacing w:before="20" w:after="20"/>
        <w:ind w:left="170"/>
      </w:pPr>
      <w:r>
        <w:rPr>
          <w:rFonts w:ascii="Calibri" w:hAnsi="Calibri"/>
          <w:b/>
          <w:color w:val="4A6B25"/>
          <w:sz w:val="15"/>
        </w:rPr>
        <w:t xml:space="preserve">4. </w:t>
      </w:r>
      <w:r>
        <w:rPr>
          <w:rFonts w:ascii="Calibri" w:hAnsi="Calibri"/>
          <w:b w:val="0"/>
          <w:color w:val="3A4A28"/>
          <w:sz w:val="17"/>
        </w:rPr>
        <w:t>Silvercorp Metals F2026 Sustainability Report — 27 material ESG issues, zero significant environmental incidents, ISO certifications across all operating mines, Silvercorp Metals website,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