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SWZ</w:t>
      </w:r>
      <w:r>
        <w:rPr>
          <w:rFonts w:ascii="Calibri" w:hAnsi="Calibri"/>
          <w:b/>
          <w:color w:val="1A2010"/>
          <w:sz w:val="40"/>
        </w:rPr>
        <w:t xml:space="preserve">  Total Return Securities Fund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2026-09-17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Asset Management / Closed-End Fund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Total Return Securities Fund (formerly The Swiss Helvetia Fund) is a closed-end investment company that changed its name and investment objective effective March 31, 2025, shifting from a dedicated Swiss-equities mandate to a broader long-term total-return strategy under a new investment advisory agreement with Bulldog Investors, LLP — an activist closed-end-fund manager known for targeting funds trading at persistent discounts to net asset value. As of its most recent disclosed reporting the fund held approximately $90.4M in net assets and traded at a meaningful discount to NAV.</w:t>
      </w:r>
    </w:p>
    <w:p>
      <w:r>
        <w:rPr>
          <w:rFonts w:ascii="Calibri" w:hAnsi="Calibri"/>
          <w:b/>
          <w:color w:val="6E8450"/>
          <w:sz w:val="18"/>
        </w:rPr>
        <w:t>https://totalreturnsecuritiesfund.com/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(0/1): SWZ's only notable change in recent years is a 2025 activist-driven name and mandate change from a Swiss-equities specialist to a generic total-return fund — financial restructuring, not product or operational innovation [1]. AI Deployment (0/1): No evidence of any technology or AI initiative exists for what is a passive/semi-passive securities portfolio with no operating business. Market Share/Pipeline (1/2): As a closed-end fund, 'market share' and 'pipeline' translate only to asset-gathering, and the fund's ~$90.4M net asset base is small and was not shown to be growing; the broadened total-return mandate at least creates optionality to attract new capital that a narrow Swiss-equity mandate could not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The fund's stated objective — 'long-term total return' — is the most generic possible mandate for an investment vehicle, offering no distinctive purpose beyond return-seeking, a downgrade in specificity from its prior identity as a dedicated Swiss-markets vehicle. Community Impact (0/2): No evidence of any community or social impact program was found; the fund has no operating business or workforce through which to generate such impact. Employee Retention (0/2): The fund has no employees — it is managed externally by Bulldog Investors, LLP, so this criterion does not apply and scores zero by default. Insider Buying (0/2): No evidence of insider buying was found; Bulldog Investors' role is as external adviser/activist rather than disclosed personal share accumulation.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HARD RULE TRIGGERED — Liquidity Floor: average daily volume of ~32,302 shares at a $5.90 stock price implies average daily dollar volume of roughly $190,600, well below the $1,000,000 minimum threshold, so Infrastructure is automatically scored 0 [4]. Standard operating-company metrics (ROE, revenue growth, margins, debt-to-equity) are not meaningful for a closed-end fund holding a securities portfolio rather than operating assets and were not available from the data source; the fund's trailing 'P/E' of 1.87x reflects unrealized/realized gains accounting rather than an operating earnings multiple and is not indicative of business quality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SWZ's 2025 transformation from a dedicated Swiss-equities fund into a generically-mandated 'total return' vehicle under activist manager Bulldog Investors — while simultaneously restructuring toward a higher management fee schedule — reads as financial engineering aimed at capturing discount-to-NAV arbitrage value for the manager and select activist shareholders, not a purpose-driven long-term strategy. There is no operating business, workforce, or product to sustain an infinite-game orientation.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The fund has no cause beyond generic 'total return,' and its 2025 restructuring was driven by activist shareholders seeking to close a persistent NAV discount rather than any stated higher purpose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(0/2, partial credit): The fund has no employees; governance is exercised through an externally-appointed adviser (Bulldog Investors) installed via historical board-control campaigns, a structure built around control and fee capture rather than internal organizational trust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(0/1, partial credit): No evidence of any competitive-positioning strategy versus other closed-end funds or, more relevantly, versus the low-cost ETFs steadily displacing the closed-end fund category altogether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(1/2, partial credit): Abandoning the narrow, decades-old Swiss-equities mandate for a broader total-return strategy is a genuine structural pivot showing willingness to reinvent the vehicle, though it was imposed by activist shareholders rather than chosen proactively by original stewardship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(0/2, partial credit): Bulldog Investors' history of taking board control at closed-end funds and pushing through a higher management fee schedule (1.25%/1.15% tiers) reflects assertive activism, but one that primarily benefits the incoming manager's fee revenue rather than reflecting sacrifice for a broader cause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only rational case for SWZ is a mechanical discount-to-NAV arbitrage: as of its last disclosed portfolio update, the fund traded at roughly a 16% discount to net asset value, and Bulldog Investors' well-documented playbook at other closed-end funds is to narrow such discounts through tender offers, buybacks, or eventual liquidation/conversion — theoretically offering a value-realization catalyst independent of the fund's now-generic total-return mandate [1][2].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This is not an investable operating business by IOWN's framework, and the case for avoidance is strong: average daily dollar volume of roughly $190,600 sits far below the $1,000,000 liquidity threshold, making meaningful position-sizing impractical and mechanically triggering a 0 Infrastructure score. The fund has no product, workforce, community impact, or competitive strategy to evaluate under Innovation or Inspiration, and its recent history is one of activist-driven fee-schedule increases (to as high as 1.25% of managed assets) that benefit the incoming manager more clearly than existing shareholders. The 2025 abandonment of the fund's differentiated Swiss-equities identity in favor of a generic 'total return' mandate further erodes any distinctive investment thesis, leaving discount-to-NAV arbitrage — a trade, not a holding — as the only coherent rationale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Potential further discount-to-NAV narrowing action (tender offer, buyback, or liquidation) consistent with Bulldog Investors' historical activist playbook at other closed-end funds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Broadened 'total return' mandate (versus the prior Swiss-only focus) theoretically expands the investable universe and could allow more opportunistic capital allocation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Small ~$90.4M asset base means even modest new capital inflows or a corporate action could have an outsized proportional impact on the fund's trajectory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Average daily dollar volume of roughly $190,600 is far below the $1,000,000 liquidity threshold, making the shares effectively illiquid for any meaningful position size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Higher activist-negotiated management fees (up to 1.25% of managed assets) directly reduce shareholder total return relative to low-cost index alternatives, compounding the structural threat closed-end funds face from ETFs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The fund has no operating business, product, or workforce, meaning it carries none of the innovation, culture, or competitive-moat characteristics the IOWN framework is designed to identify and reward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NEUTRAL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(5/9): As a closed-end fund, SWZ faces no direct AI substitution risk to its holdings, but the closed-end fund structure itself faces a longer-running structural threat from low-cost index ETFs and increasingly algorithm-driven robo-advisory platforms that can replicate diversified total-return exposure at a fraction of SWZ's cost — a dynamic Bulldog Investors' activist discount-arbitrage strategy is itself a symptom of [1][2]. AI Opportunity (0/1): No evidence of any AI-driven portfolio management, cost reduction, or shareholder-service enhancement was found at the fund level.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CEF Connect / Morningstar / StockAnalysis.com — SWZ (Total Return Securities Fund) fund profile and NAV data,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SEC EDGAR N-CSR filings and Seeking Alpha — Swiss Helvetia Fund activist history and Bulldog Investors advisory agreement, 2018-2025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Ad-Hoc-News / Investing.com — 'Total Return Securities Fund (SWZ): From Swiss Specialist to Broader Horizon Amid Closed-End Discount', 2025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— SWZ key statistics and financial data,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