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SYK</w:t>
      </w:r>
      <w:r>
        <w:rPr>
          <w:rFonts w:ascii="Calibri" w:hAnsi="Calibri"/>
          <w:b/>
          <w:color w:val="1A2010"/>
          <w:sz w:val="40"/>
        </w:rPr>
        <w:t xml:space="preserve">  Stryker Corporation</w:t>
      </w:r>
    </w:p>
    <w:p>
      <w:pPr>
        <w:spacing w:after="120"/>
      </w:pPr>
      <w:r>
        <w:rPr>
          <w:rFonts w:ascii="Calibri" w:hAnsi="Calibri"/>
          <w:b/>
          <w:color w:val="6E8450"/>
          <w:sz w:val="18"/>
        </w:rPr>
        <w:t>DIVIDEND SLEEVE · 2026-08-29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Stryker Corporation is a leading global medical technology company offering innovative products and services in MedSurg and Neurotechnology, and Orthopaedics that help improve patient and hospital outcomes. The company operates through two segments: MedSurg and Neurotechnology (surgical instruments, endoscopy, patient handling, neurovascular devices) and Orthopaedics and Spine (hip and knee implants, trauma and extremities products, spine solutions, and the Mako robotic-arm assisted surgery platform). Stryker impacts more than 150 million patients annually worldwide.</w:t>
      </w:r>
    </w:p>
    <w:p>
      <w:r>
        <w:rPr>
          <w:rFonts w:ascii="Calibri" w:hAnsi="Calibri"/>
          <w:b/>
          <w:color w:val="6E8450"/>
          <w:sz w:val="18"/>
        </w:rPr>
        <w:t>52,000 Employees · https://www.stryker.com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Stryker has delivered a steady cadence of significant product launches and strategic acquisitions over the past 5 years, including the Mako 4 surgical robot expanding into total hip, total knee, partial knee, and spine procedures, and the acquisition of Gauss Surgical for AI-powered real-time blood loss monitoring using computer vision [4][5]. Q2 2026 Trauma and Extremities grew 11.9%, reflecting successful new product launches driving share gains [1]. These represent meaningful market extension rather than transformative business model reinvention. AI Deployment (1/2): Mako surgical robot integrates AI for preoperative surgical planning and intraoperative guidance, and Gauss Surgical's computer vision platform monitors blood loss in real-time during surgery [5]. However, CEO Lobo acknowledged the company is 'a little bit behind where I'd like to be' on internal AI productivity applications like customer service and regulatory work [4]. AI is deployed in products but not comprehensively across operations. Market Share (2/2): Global leader in surgical robotics through the Mako platform, dominant positions in orthopedic implants, and category-leading market share in neurotechnology — Q2 2026 organic growth of 9.0% across both segments demonstrates sustained share gains [1][2]. MedSurg and Neurotechnology generated $3.63B (up 9.7%) and Orthopaedics $2.96B with Trauma and Extremities rising 11.9% [1]. Product Pipeline (2/2): Full-year 2026 organic sales growth guidance of 8.3-9.3% provides strong revenue visibility [1]. Mako 4 robot expanding into additional surgical procedures including spine, with a clear roadmap for next-generation capabilities. Leadership restructuring created a dedicated digital and robotics unit under Mike Carlin to accelerate product development [4]. R&amp;D Intensity (1/1): R&amp;D investment above medical device industry average, with dedicated digital and robotics development teams, AI-powered surgical planning R&amp;D, and computer vision technology development through the Gauss acquisition [4][5].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Stryker's purpose of making healthcare better, 'Together with our customers, we are driven to make healthcare better,' is specific and thoughtful — it connects medical technology innovation to patient outcomes and positions the company as a partner to surgeons and hospitals rather than a product vendor [3]. Impacting 150+ million patients annually validates the scale of the mission's reach. Leadership references this purpose in strategic decisions around robotic surgery, neurotechnology, and patient care. However, the framing has not yet been tested through leadership transitions. Community Impact (1/2): Corporate responsibility framework organized around 'Stronger People, Healthier Planet, Good Business' pillars with ESG reports and environmental commitments [6]. However, no specific charitable investment dollar amounts, foundation activities, or distinctive community programs cited. General medtech ESG engagement without standout philanthropic impact. Employee Retention (1/2): Employees report experiencing 'a genuine sense of purpose and fulfillment' and value 'bosses, coworkers, and friends that care about me as a person' [4]. CEO Lobo has provided stable leadership emphasizing culture and disciplined M&amp;A. Positive signals but no specific tenure data, voluntary turnover rates, or exceptional retention metrics quantified. Insider Buying (0/2): No evidence of meaningful net insider buying identified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excellent metrics. D/E of 64% scores 1.0, below the 70% target reflecting conservative balance sheet management relative to medtech peers [7]. ROE of 16.51% scores 1.0, exceeding the 15% target [7]. Revenue Growth YoY of 8.8% (full-year guidance midpoint of 8.3-9.3% organic growth, with Q2 at 9.4%) scores 0.96 [1]. Forward P/E of 20.76 scores 0.98 — essentially at the 20 target, reflecting a premium-but-reasonable valuation for a consistent grower [7]. Profit Margin of 12% is the main drag, scoring 0.60 against the 20% target — typical for a medical device manufacturer with physical product costs [7]. Payout Ratio of approximately 23.5% ($3.52 dividend vs ~$15 adjusted EPS) scores 1.0, well below the 40% target [7]. Consecutive Years Paid of 30+ scores 1.0 at 2x weight. Consecutive Years Growth of 30+ scores 1.0 [8]. 5yr Dividend Growth CAGR of 9.8% scores 1.0 at 2x weight [8]. Liquidity floor cleared: approximately 1.5M avg daily volume at $329 yields approximately $494M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Stryker demonstrates solid infinite game characteristics through its consistent focus on improving patient outcomes through medical technology innovation over decades, sustained investment in surgical robotics (Mako platform), and stable leadership under CEO Kevin Lobo [1][4]. The company's willingness to invest heavily in robotics and digital health shows long-term vision. However, the competitive approach is more focused on disciplined M&amp;A execution and market share gains than on a transformative Just Cause that would rank among Sinek's exemplars.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'Making healthcare better' for 150+ million patients annually is a genuine cause that connects product innovation to human outcomes — every Mako surgical procedure, every trauma implant, and every neurovascular device directly improves a patient's quality of life [3]. The company's strategic decisions around robotic surgery and AI-powered surgical planning can be traced back to this purpose. However, this mission is shared by most medtech companies and has not been tested through the kind of leadership transitions or existential crises that validate a truly enduring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Kevin Lobo has provided stable leadership emphasizing culture and disciplined execution. Employees describe a 'genuine sense of purpose and fulfillment' and value relationships with colleagues [4]. The company employs 52,000+ people in a culture that leadership describes as a competitive advantage. No evidence of high turnover, layoffs, or cultural dysfunction. Adequate trust environment without exceptional data points.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Stryker competes alongside Medtronic, Johnson &amp; Johnson MedTech, and Zimmer Biomet in a way that drives continuous product improvement. The company's innovation strategy — including the Mako platform and Gauss acquisition — reflects a competitive approach centered on building superior capabilities rather than destroying rivals [4][5]. Leadership language focuses on improving patient outcomes and surgical precision rather than 'winning' market share from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Stryker has evolved from a traditional orthopedic implant manufacturer into a broad medical technology platform spanning surgical robotics, neurotechnology, patient handling, and digital health over the past two decades [3]. The strategic expansion into robotic surgery through the Mako platform represents a significant capability evolution. Leadership restructuring created a dedicated digital and robotics unit to accelerate this transformation [4]. However, the evolution has been incremental — building adjacencies around the orthopedic core — rather than a transformative pivot that abandoned legacy revenue streams.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multi-billion dollar investment in the Mako robotic surgery platform represents a meaningful long-term bet on surgical robotics that required sustained capital commitment before reaching current scale [5]. Acquisitions like Gauss Surgical demonstrate willingness to invest in emerging AI/computer vision technology for surgical applications. However, Stryker's M&amp;A strategy is disciplined and risk-managed rather than the kind of bet-the-company courage Sinek celebrates — management optimizes for consistent high-single-digit growth rather than making transformative sacrifices.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Stryker is a premier medical technology franchise delivering best-in-class organic growth with Q2 2026 sales up 9.4% and adjusted EPS of $3.69 (up 17.9%), driven by the Mako robotic surgery platform and Trauma &amp; Extremities growing 11.9% [1]. Full-year 2026 guidance of 8.3-9.3% organic growth and adjusted EPS of $14.95-$15.10 reflects consistent execution and market share gains across both segments [1]. The balance sheet is conservatively managed at 64% D/E, ROE of 16.51% exceeds the cost of capital, and the dividend has grown at 9.8% CAGR over 10 years with a 23.5% payout ratio leaving substantial room for growth and reinvestment [7][8]. Stryker's leadership in surgical robotics, combined with AI integration (Mako planning, Gauss blood monitoring), positions the company at the intersection of medtech innovation and demographic tailwinds from an aging global population.</w:t>
      </w:r>
    </w:p>
    <w:p>
      <w:pPr>
        <w:spacing w:after="120"/>
      </w:pPr>
      <w:r>
        <w:rPr>
          <w:rFonts w:ascii="Calibri" w:hAnsi="Calibri"/>
          <w:b w:val="0"/>
          <w:color w:val="3A4A28"/>
          <w:sz w:val="20"/>
        </w:rPr>
        <w:t>The bear case centers on valuation: Forward P/E of 20.76 and PEG of 1.92 leave limited margin of safety for a company growing revenue at high-single-digits — any deceleration in organic growth or Mako adoption would compress the multiple [7]. Profit margin of 12% is below medtech peers with higher-margin consumable businesses, reflecting Stryker's exposure to physical manufacturing costs and competitive pricing pressure in implants [7]. The company's ESG profile includes MSCI criticism for climate misalignment (3.0 degree warming trajectory) and alleged bribery instances, which could create reputational or regulatory headwinds [6]. CEO Lobo's admission that Stryker is 'a little bit behind' on internal AI productivity suggests operational efficiency gains may lag competitors who deploy AI more aggressively [4]. Hospital capital spending cycles create revenue lumpiness, particularly in robotics placements.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Mako 4 robotic surgery platform expansion into spine procedures and additional orthopedic applications, potentially accelerating the already strong 9.0% organic growth rate as robotics penetration increases globally [1][5]</w:t>
      </w:r>
    </w:p>
    <w:p>
      <w:pPr>
        <w:spacing w:before="40" w:after="40"/>
        <w:ind w:left="283"/>
      </w:pPr>
      <w:r>
        <w:rPr>
          <w:rFonts w:ascii="Calibri" w:hAnsi="Calibri"/>
          <w:b/>
          <w:color w:val="4A6B25"/>
          <w:sz w:val="20"/>
        </w:rPr>
        <w:t xml:space="preserve">2. </w:t>
      </w:r>
      <w:r>
        <w:rPr>
          <w:rFonts w:ascii="Calibri" w:hAnsi="Calibri"/>
          <w:b w:val="0"/>
          <w:color w:val="3A4A28"/>
          <w:sz w:val="20"/>
        </w:rPr>
        <w:t>Adjusted operating income margin expansion of 170 basis points to 27.4% in Q2 2026 suggests operational leverage as high-margin robotic surgery and neurotechnology revenue grows faster than the overall business [1]</w:t>
      </w:r>
    </w:p>
    <w:p>
      <w:pPr>
        <w:spacing w:before="40" w:after="40"/>
        <w:ind w:left="283"/>
      </w:pPr>
      <w:r>
        <w:rPr>
          <w:rFonts w:ascii="Calibri" w:hAnsi="Calibri"/>
          <w:b/>
          <w:color w:val="4A6B25"/>
          <w:sz w:val="20"/>
        </w:rPr>
        <w:t xml:space="preserve">3. </w:t>
      </w:r>
      <w:r>
        <w:rPr>
          <w:rFonts w:ascii="Calibri" w:hAnsi="Calibri"/>
          <w:b w:val="0"/>
          <w:color w:val="3A4A28"/>
          <w:sz w:val="20"/>
        </w:rPr>
        <w:t>Aging global population demographics driving sustained demand growth for hip and knee replacements, trauma products, and neurovascular interventions — Stryker's core procedure volumes have multi-decade secular tailwinds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20.76 and PEG of 1.92 offer limited margin of safety — any organic growth deceleration below the 8.3% guidance floor could trigger a valuation reset from premium to market multiple [7]</w:t>
      </w:r>
    </w:p>
    <w:p>
      <w:pPr>
        <w:spacing w:before="40" w:after="40"/>
        <w:ind w:left="283"/>
      </w:pPr>
      <w:r>
        <w:rPr>
          <w:rFonts w:ascii="Calibri" w:hAnsi="Calibri"/>
          <w:b/>
          <w:color w:val="4A6B25"/>
          <w:sz w:val="20"/>
        </w:rPr>
        <w:t xml:space="preserve">2. </w:t>
      </w:r>
      <w:r>
        <w:rPr>
          <w:rFonts w:ascii="Calibri" w:hAnsi="Calibri"/>
          <w:b w:val="0"/>
          <w:color w:val="3A4A28"/>
          <w:sz w:val="20"/>
        </w:rPr>
        <w:t>Profit margin of 12% constrains earnings growth potential relative to higher-margin medtech peers and creates vulnerability if input costs rise or pricing pressure intensifies in competitive implant categories</w:t>
      </w:r>
    </w:p>
    <w:p>
      <w:pPr>
        <w:spacing w:before="40" w:after="40"/>
        <w:ind w:left="283"/>
      </w:pPr>
      <w:r>
        <w:rPr>
          <w:rFonts w:ascii="Calibri" w:hAnsi="Calibri"/>
          <w:b/>
          <w:color w:val="4A6B25"/>
          <w:sz w:val="20"/>
        </w:rPr>
        <w:t xml:space="preserve">3. </w:t>
      </w:r>
      <w:r>
        <w:rPr>
          <w:rFonts w:ascii="Calibri" w:hAnsi="Calibri"/>
          <w:b w:val="0"/>
          <w:color w:val="3A4A28"/>
          <w:sz w:val="20"/>
        </w:rPr>
        <w:t>Hospital capital spending sensitivity in robotic surgery placements — economic slowdowns or tightening hospital budgets could delay Mako installations and compress the highest-growth product line's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Medical device manufacturing is structurally immune to AI disruption — physical surgical robots, orthopedic implants, neurovascular devices, and surgical instruments require FDA-cleared manufacturing, sterilization, and regulatory approval processes that AI cannot substitute [3]. The Mako surgical robot platform actually benefits from AI integration (surgical planning, intraoperative guidance) making AI an enhancer rather than disruptor [5]. Increasing surgical complexity and aging global population drive sustained demand for precision medical devices regardless of AI advancement. Regulatory barriers (510(k) clearance, PMA approval) create massive moats against AI-native competitors. Hospital procurement cycles, surgeon training requirements, and sterile manufacturing create additional physical-world barriers. AI Opportunity (1/1): Mako surgical robot platform deploys AI for preoperative planning and intraoperative guidance across hip, knee, and spine procedures [5]. Gauss Surgical acquisition brought computer vision/AI-powered real-time blood loss monitoring, shipping as an FDA-cleared product [5]. These represent quantifiable AI-related revenue embedded in Stryker's fastest-growing product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Stryker Q2 2026 Earnings Release and Full-Year 2026 Guidance — SEC 10-Q/8-K Filing, July 2026</w:t>
      </w:r>
    </w:p>
    <w:p>
      <w:pPr>
        <w:spacing w:before="20" w:after="20"/>
        <w:ind w:left="170"/>
      </w:pPr>
      <w:r>
        <w:rPr>
          <w:rFonts w:ascii="Calibri" w:hAnsi="Calibri"/>
          <w:b/>
          <w:color w:val="4A6B25"/>
          <w:sz w:val="15"/>
        </w:rPr>
        <w:t xml:space="preserve">2. </w:t>
      </w:r>
      <w:r>
        <w:rPr>
          <w:rFonts w:ascii="Calibri" w:hAnsi="Calibri"/>
          <w:b w:val="0"/>
          <w:color w:val="3A4A28"/>
          <w:sz w:val="17"/>
        </w:rPr>
        <w:t>Stryker Q1 2026 Earnings Release — SEC 8-K Filing, April 30, 2026</w:t>
      </w:r>
    </w:p>
    <w:p>
      <w:pPr>
        <w:spacing w:before="20" w:after="20"/>
        <w:ind w:left="170"/>
      </w:pPr>
      <w:r>
        <w:rPr>
          <w:rFonts w:ascii="Calibri" w:hAnsi="Calibri"/>
          <w:b/>
          <w:color w:val="4A6B25"/>
          <w:sz w:val="15"/>
        </w:rPr>
        <w:t xml:space="preserve">3. </w:t>
      </w:r>
      <w:r>
        <w:rPr>
          <w:rFonts w:ascii="Calibri" w:hAnsi="Calibri"/>
          <w:b w:val="0"/>
          <w:color w:val="3A4A28"/>
          <w:sz w:val="17"/>
        </w:rPr>
        <w:t>Stryker Corporate Website — Company Overview, Mission, and Product Portfolio,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MedTech Dive — Stryker CEO Lobo on AI Strategy and Leadership Restructuring, 2025-2026</w:t>
      </w:r>
    </w:p>
    <w:p>
      <w:pPr>
        <w:spacing w:before="20" w:after="20"/>
        <w:ind w:left="170"/>
      </w:pPr>
      <w:r>
        <w:rPr>
          <w:rFonts w:ascii="Calibri" w:hAnsi="Calibri"/>
          <w:b/>
          <w:color w:val="4A6B25"/>
          <w:sz w:val="15"/>
        </w:rPr>
        <w:t xml:space="preserve">5. </w:t>
      </w:r>
      <w:r>
        <w:rPr>
          <w:rFonts w:ascii="Calibri" w:hAnsi="Calibri"/>
          <w:b w:val="0"/>
          <w:color w:val="3A4A28"/>
          <w:sz w:val="17"/>
        </w:rPr>
        <w:t>Medical Design &amp; Outsourcing — Stryker Mako Surgical Robotics and Gauss Surgical AI Integration, 2024-2026</w:t>
      </w:r>
    </w:p>
    <w:p>
      <w:pPr>
        <w:spacing w:before="20" w:after="20"/>
        <w:ind w:left="170"/>
      </w:pPr>
      <w:r>
        <w:rPr>
          <w:rFonts w:ascii="Calibri" w:hAnsi="Calibri"/>
          <w:b/>
          <w:color w:val="4A6B25"/>
          <w:sz w:val="15"/>
        </w:rPr>
        <w:t xml:space="preserve">6. </w:t>
      </w:r>
      <w:r>
        <w:rPr>
          <w:rFonts w:ascii="Calibri" w:hAnsi="Calibri"/>
          <w:b w:val="0"/>
          <w:color w:val="3A4A28"/>
          <w:sz w:val="17"/>
        </w:rPr>
        <w:t>Stryker ESG Comprehensive Report and MSCI Analysis — TechTarget/DeviceTalks, 2022-2026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StockAnalysis — SYK Key Statistics, Forward P/E, ROE, and Financial Data, accessed August 2026</w:t>
      </w:r>
    </w:p>
    <w:p>
      <w:pPr>
        <w:spacing w:before="20" w:after="20"/>
        <w:ind w:left="170"/>
      </w:pPr>
      <w:r>
        <w:rPr>
          <w:rFonts w:ascii="Calibri" w:hAnsi="Calibri"/>
          <w:b/>
          <w:color w:val="4A6B25"/>
          <w:sz w:val="15"/>
        </w:rPr>
        <w:t xml:space="preserve">8. </w:t>
      </w:r>
      <w:r>
        <w:rPr>
          <w:rFonts w:ascii="Calibri" w:hAnsi="Calibri"/>
          <w:b w:val="0"/>
          <w:color w:val="3A4A28"/>
          <w:sz w:val="17"/>
        </w:rPr>
        <w:t>StockAnalysis / Dividend.com — SYK Dividend History, Yield, and Growth Rates,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