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SYY</w:t>
      </w:r>
      <w:r>
        <w:rPr>
          <w:rFonts w:ascii="Calibri" w:hAnsi="Calibri"/>
          <w:b/>
          <w:color w:val="1A2010"/>
          <w:sz w:val="40"/>
        </w:rPr>
        <w:t xml:space="preserve">  Sysco Corporation</w:t>
      </w:r>
    </w:p>
    <w:p>
      <w:pPr>
        <w:spacing w:after="120"/>
      </w:pPr>
      <w:r>
        <w:rPr>
          <w:rFonts w:ascii="Calibri" w:hAnsi="Calibri"/>
          <w:b/>
          <w:color w:val="6E8450"/>
          <w:sz w:val="18"/>
        </w:rPr>
        <w:t>DIVIDEND SLEEVE · 2026-09-01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Defensive · Food Distribution · NYSE · United States</w:t>
      </w:r>
    </w:p>
    <w:p>
      <w:pPr>
        <w:spacing w:after="80"/>
      </w:pPr>
      <w:r>
        <w:rPr>
          <w:rFonts w:ascii="Calibri" w:hAnsi="Calibri"/>
          <w:b w:val="0"/>
          <w:color w:val="3A4A28"/>
          <w:sz w:val="20"/>
        </w:rPr>
        <w:t>Sysco Corporation is the world's largest foodservice distribution company, delivering food products, smallwares, kitchen equipment, and related supplies to approximately 730,000 customer locations including restaurants, healthcare facilities, educational institutions, and hospitality venues across 90+ countries. Under CEO Kevin Hourican since 2020, Sysco generated $84.55B in FY2026 revenue (+3.9% YoY) with $2.1B in free cash flow (+16.3% YoY). The company is a Dividend King with 56 consecutive years of dividend increases. In August 2026, Sysco announced strategic AI transformation initiatives, evolving its Technology Committee into an AI Transformation &amp; Technology Committee and adding two tech-focused directors to accelerate enterprise AI adoption across its 75,000-employee logistics network.</w:t>
      </w:r>
    </w:p>
    <w:p>
      <w:r>
        <w:rPr>
          <w:rFonts w:ascii="Calibri" w:hAnsi="Calibri"/>
          <w:b/>
          <w:color w:val="6E8450"/>
          <w:sz w:val="18"/>
        </w:rPr>
        <w:t>75,000 Employees · https://www.sysco.com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Sysco has expanded its digital ordering platform and specialty product portfolio over the past five years, but the core business model — warehousing and trucking food to restaurants — remains fundamentally unchanged since the company's 1969 founding [1]. FY2026 revenue grew only 3.9% on an $84.55B base, reflecting the mature, low-growth nature of foodservice distribution. No transformative pivot or business model reinvention has occurred. AI Deployment (1/2): In August 2026, Sysco announced strategic AI transformation initiatives including evolving its board Technology Committee into an AI Transformation &amp; Technology Committee meeting monthly with management, and adding two tech-focused directors to accelerate enterprise AI adoption [3]. CEO Hourican described 'deliberate investments in technology, governance, and talent,' and the company conducts monthly strategic look-forward days focused on innovation and disruption. However, no AI-powered products have shipped and no quantified AI-driven savings have been reported. Market Share (2/2): Sysco is the undisputed category leader in US foodservice distribution with approximately 17% market share, roughly 1.5x the size of its nearest competitor US Foods [1]. Q3 FY2026 U.S. local volumes grew 3.3%, demonstrating continued share gains in a highly fragmented $380B+ market. Product Pipeline (0/2): No specific next-generation products or services with launch dates and revenue visibility have been announced. FY27 guidance of 6-7% sales growth reflects steady organic expansion, not new product-driven acceleration [1]. R&amp;D Intensity (0/1): As a food distribution company, Sysco's R&amp;D spending is minimal relative to technology or pharmaceutical peers. Innovation occurs primarily in supply chain logistics and procurement rather than product development [4].</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Sysco's mission is 'Delivering success for our customers through industry-leading people, products and solutions' — a generic, boilerplate statement interchangeable with any distribution or services company [4]. It does not articulate a deeper purpose, vision of a better future, or distinctive reason for the company's existence beyond commercial success. The mission describes what Sysco does, not why it matters. Community Impact (0/2): No specific charitable foundation, community investment programs, or measurable social impact initiatives with dollar amounts were identified in public disclosures. Sysco publishes sustainability reporting and partners with NGOs on seafood supply chain labor rights, but these represent standard corporate responsibility practices rather than distinctive community investment [6]. Employee Retention (0/2): No specific employee turnover, tenure, or retention data was identified. Glassdoor reviews describe a 'top-down management style' under CEO Hourican that has 'led to diminished morale across teams,' with employees citing 'lacking company culture' and limited opportunity for creativity [5]. These signals are concerning but no hard retention metrics were available. Insider Buying (1/2): Insiders collectively bought $757K more in shares than they sold over the trailing 12 months, representing modest but net positive insider conviction [5]. CEO Hourican holds approximately $22M in Sysco stock, demonstrating meaningful personal alignment with shareholders.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as a Dividend stock. Sysco's Infrastructure score is driven by exceptional dividend history and reasonable valuation offset by extreme leverage and razor-thin margins. The D/E ratio of 670% scores 0.0, reflecting $15.4B in debt against only $1.9B in cash — extreme leverage that is structurally typical for food distribution companies whose stable cash flows support higher leverage ratios [4]. However, ROE of 81.9% (scoring 1.0) is partly a mathematical consequence of this same leverage reducing the equity denominator. Forward P/E of 15.46 scores at ceiling, and revenue growth metrics are strong: 3.9% YoY growth and 10.5% 5yr CAGR, though the latter is inflated by COVID-19 base effects (FY2021 revenue of $51.3B was severely depressed vs. pre-COVID ~$60B). The dominant drag is profit margin at 2.08% (scoring 0.104), reflecting the inherently thin-margin nature of food distribution that the 20% target was not calibrated for [4]. Dividend metrics are strong: 56 consecutive years of both payment and growth (Dividend King), though payout ratio of 55% and 5yr dividend growth CAGR of 3.71% moderately underperform targets. The stock easily clears the liquidity floor at $467.8M daily turnover.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Sysco plays a mixed game — a company built on the essential purpose of feeding people through its distribution network, with 56 consecutive years of dividend growth demonstrating remarkable long-term consistency. However, the company lacks a compelling Just Cause beyond commercial success, and CEO Hourican's top-down management style has created cultural concerns that undermine the trusting teams foundation Sinek considers essential. The recent AI transformation initiative and monthly strategic innovation sessions show some forward-looking intent, but Sysco has not demonstrated the existential flexibility or transformative courage that distinguish truly infinite players.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Sysco's mission of 'Delivering success for our customers through industry-leading people, products and solutions' is a generic business statement, not a Just Cause in Sinek's framework [4]. It does not articulate a vision of a better future that inspires sacrifice — it describes a commercial relationship. While feeding people through efficient distribution serves an essential social function, Sysco does not articulate this broader purpose in its strategic decisions or communications. The company exists to be the biggest and best distributor, which is a finite aspiration focused on winning rather than advancing a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Sysco is a large, stable organization with 75,000 employees and 56 years of consistent operations without major organizational disruptions [4]. CEO Hourican has been in place since 2020, providing leadership continuity. However, employee feedback raises concerns: Glassdoor reviews describe a 'top-down management style that has led to diminished morale across teams,' with employees citing 'lacking company culture' and limited communication from leadership [5]. These signals suggest adequate but not exceptional organizational trust — the company functions and is stable, but does not appear to foster the psychological safety and empowerment that Sinek identifies as foundational to infinite game play.</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Sysco's leadership conducts monthly 'strategic look forward days' where the team focuses on innovation and disruption in the market, demonstrating a learning-oriented competitive awareness rather than a pure market-share-conquest mindset [3]. The company competes with US Foods and Performance Food Group on service quality and product breadth rather than predatory pricing, and management's language emphasizes customer success and operational excellence rather than competitor destruction. The AI transformation initiative was driven by a desire to innovate for customers, not to crush competitors.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Sysco has incrementally evolved its business model over the decades — expanding from US foodservice into international markets (90+ countries), adding specialty and customized product lines, building digital ordering capabilities, and most recently launching an enterprise AI transformation initiative [1][3]. These represent meaningful adaptations to changing market conditions. However, the core business model of warehousing and distributing food products remains fundamentally unchanged since 1969 — Sysco has never made a transformative pivot that redefined the company, and the AI initiative is early-stage governance rather than a strategic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Sysco's 56 consecutive years of dividend growth through multiple recessions, commodity price spikes, and COVID-19 demonstrates remarkable commitment to long-term shareholder returns even when near-term earnings were pressured [1]. The company maintained its dividend growth streak through FY2021 when revenue plunged 27% from COVID-19 impacts on restaurants — choosing to protect the long-term capital allocation commitment over short-term balance sheet preservation. The August 2026 AI transformation initiative with monthly board oversight represents a forward-looking investment [3]. However, no examples of Sysco walking away from profitable but misaligned businesses or making costly bets on unproven models were identified.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Sysco's dominant market position as the world's largest foodservice distributor with approximately 17% US market share generates exceptionally stable cash flows — FY2026 delivered $2.1B in free cash flow (+16.3% YoY) supporting a 56-year dividend growth streak that places it among the exclusive Dividend Kings [1]. At 15.5x forward earnings with FY27 guidance of 6-7% sales growth and 9-11% adjusted EPS growth, the stock offers a rare combination of defensive stability and modest growth at a reasonable valuation [1][4]. The AI transformation initiative announced August 2026, including monthly board oversight through the new AI Transformation &amp; Technology Committee and two new tech-focused directors, positions Sysco to unlock supply chain efficiency gains across its 75,000-employee logistics network — even modest operating margin improvement from the current 4.31% level would meaningfully leverage the $84.55B revenue base [3]. The physical distribution infrastructure — 330+ facilities, thousands of delivery routes, cold-chain logistics — is structurally immune to AI disruption, and Sysco's procurement scale creates barriers to entry that grow with revenue.</w:t>
      </w:r>
    </w:p>
    <w:p>
      <w:pPr>
        <w:spacing w:after="120"/>
      </w:pPr>
      <w:r>
        <w:rPr>
          <w:rFonts w:ascii="Calibri" w:hAnsi="Calibri"/>
          <w:b w:val="0"/>
          <w:color w:val="3A4A28"/>
          <w:sz w:val="20"/>
        </w:rPr>
        <w:t>The bear case centers on Sysco's aggressive financial engineering and structural growth constraints. D/E of 670% with $15.4B in debt against $1.9B in cash creates refinancing risk and interest rate sensitivity — a 100bps increase in borrowing costs on the debt portfolio would reduce net income by approximately $154M, material against FY2026 net income of approximately $1.76B [4]. The razor-thin 2.08% net profit margin leaves virtually no buffer for commodity cost spikes, labor inflation, or food safety incidents — the 2014 $20M food safety settlement in California demonstrates operational risk inherent in distributing perishable goods at massive scale [6]. The 5yr revenue CAGR of 10.5% is artificially inflated by COVID-19 base effects; normalized growth is closer to 5-6%, consistent with the mature foodservice distribution market [1]. Employee morale concerns under CEO Hourican's top-down management style raise questions about driver retention and service quality in a logistics business where people are the competitive advantage [5]. The Inspire Impact Score of -49 (MISALIGNED) due to LGBT Activism involvement limits allocation for faith-based investors, and the 3.71% 5yr dividend growth CAGR barely exceeds inflation, suggesting limited capacity for payout acceleration given the leverage-heavy capital structure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Transformation initiative with dedicated board committee meeting monthly, two new AI/tech-focused directors effective September 2026, and CEO Hourican's mandate to accelerate enterprise AI adoption — supply chain optimization and route efficiency gains across 75,000 employees and 330+ distribution facilities could meaningfully improve operating margins from the current 4.31% level [3]</w:t>
      </w:r>
    </w:p>
    <w:p>
      <w:pPr>
        <w:spacing w:before="40" w:after="40"/>
        <w:ind w:left="283"/>
      </w:pPr>
      <w:r>
        <w:rPr>
          <w:rFonts w:ascii="Calibri" w:hAnsi="Calibri"/>
          <w:b/>
          <w:color w:val="4A6B25"/>
          <w:sz w:val="20"/>
        </w:rPr>
        <w:t xml:space="preserve">2. </w:t>
      </w:r>
      <w:r>
        <w:rPr>
          <w:rFonts w:ascii="Calibri" w:hAnsi="Calibri"/>
          <w:b w:val="0"/>
          <w:color w:val="3A4A28"/>
          <w:sz w:val="20"/>
        </w:rPr>
        <w:t>FY27 guidance of 6-7% sales growth and 9-11% adjusted EPS growth implies meaningful margin expansion through procurement leverage and operational efficiency, with U.S. local volume momentum at 3.3% growth in Q3 FY2026 demonstrating continued share gains in the fragmented $380B+ foodservice distribution market [1][2]</w:t>
      </w:r>
    </w:p>
    <w:p>
      <w:pPr>
        <w:spacing w:before="40" w:after="40"/>
        <w:ind w:left="283"/>
      </w:pPr>
      <w:r>
        <w:rPr>
          <w:rFonts w:ascii="Calibri" w:hAnsi="Calibri"/>
          <w:b/>
          <w:color w:val="4A6B25"/>
          <w:sz w:val="20"/>
        </w:rPr>
        <w:t xml:space="preserve">3. </w:t>
      </w:r>
      <w:r>
        <w:rPr>
          <w:rFonts w:ascii="Calibri" w:hAnsi="Calibri"/>
          <w:b w:val="0"/>
          <w:color w:val="3A4A28"/>
          <w:sz w:val="20"/>
        </w:rPr>
        <w:t>Free cash flow inflection with FY2026 FCF of $2.1B (+16.3% YoY) and improving capital efficiency could support accelerated debt reduction, buybacks, or dividend growth acceleration beyond the recent 3.71% CAGR while protecting the 56-year Dividend King streak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Extreme leverage with D/E of 670% and $15.4B in debt creates refinancing risk and interest rate sensitivity — a 100bps increase in borrowing costs would reduce net income by approximately $154M, material against $1.76B FY2026 net income, and limits financial flexibility during economic downturns when restaurant closures reduce distribution volumes [4]</w:t>
      </w:r>
    </w:p>
    <w:p>
      <w:pPr>
        <w:spacing w:before="40" w:after="40"/>
        <w:ind w:left="283"/>
      </w:pPr>
      <w:r>
        <w:rPr>
          <w:rFonts w:ascii="Calibri" w:hAnsi="Calibri"/>
          <w:b/>
          <w:color w:val="4A6B25"/>
          <w:sz w:val="20"/>
        </w:rPr>
        <w:t xml:space="preserve">2. </w:t>
      </w:r>
      <w:r>
        <w:rPr>
          <w:rFonts w:ascii="Calibri" w:hAnsi="Calibri"/>
          <w:b w:val="0"/>
          <w:color w:val="3A4A28"/>
          <w:sz w:val="20"/>
        </w:rPr>
        <w:t>Razor-thin net profit margin of 2.08% leaves no buffer for commodity cost spikes, labor inflation, or food safety incidents — the 2014 California food safety settlement ($20M) and 2018 supplier water management controversy demonstrate the operational and reputational risks inherent in distributing perishable goods at massive scale across complex supply chains [6]</w:t>
      </w:r>
    </w:p>
    <w:p>
      <w:pPr>
        <w:spacing w:before="40" w:after="40"/>
        <w:ind w:left="283"/>
      </w:pPr>
      <w:r>
        <w:rPr>
          <w:rFonts w:ascii="Calibri" w:hAnsi="Calibri"/>
          <w:b/>
          <w:color w:val="4A6B25"/>
          <w:sz w:val="20"/>
        </w:rPr>
        <w:t xml:space="preserve">3. </w:t>
      </w:r>
      <w:r>
        <w:rPr>
          <w:rFonts w:ascii="Calibri" w:hAnsi="Calibri"/>
          <w:b w:val="0"/>
          <w:color w:val="3A4A28"/>
          <w:sz w:val="20"/>
        </w:rPr>
        <w:t>Employee morale and cultural concerns under CEO Hourican's top-down management style could impact driver retention and service quality in a logistics business where 75,000 employees are the competitive advantage — commercial driver shortages in the US make replacement costly and slow, and declining morale could erode the service differentiation that justifies Sysco's premium pricing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Sysco's core business — physically warehousing, picking, loading, and trucking food products to 730,000 customer locations — is structurally immune to AI substitution [1]. Restaurants require actual food delivered by actual trucks on actual routes; no software or AI model can replace the physical logistics infrastructure of cold-chain distribution. AI may increase demand for Sysco's services by enabling restaurant operators to optimize menus and ordering patterns, potentially increasing food purchasing volumes. The company's scale advantages — 330+ distribution facilities, thousands of delivery routes, and procurement leverage across billions in food purchases — create physical moats that AI cannot replicate [4]. However, AI-driven procurement and inventory management tools could theoretically enable smaller competitors to close the efficiency gap with Sysco's scale advantages, and AI-powered marketplace platforms could intermediate between restaurants and food suppliers, modestly exposing the traditional distributor role. AI Opportunity (0/1): Sysco announced AI transformation initiatives in August 2026 including monthly board oversight through the new AI Transformation &amp; Technology Committee [3]. CEO Hourican is making 'deliberate investments in technology, governance, and talent,' but no AI-specific revenue figures, cost savings, or operational efficiency gains have been quantified. The company conducts monthly strategic innovation sessions but has not shipped AI-powered products or services to customers.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Sysco FY2026 Full Year Results — Revenue $84.55B (+3.9% YoY), Cash Flow from Operations $2.6B (+5.1%), Free Cash Flow $2.1B (+16.3%), FY27 Guidance 6-7% Sales Growth and 9-11% Adjusted EPS Growth — Sysco Investor Relations, August 2026</w:t>
      </w:r>
    </w:p>
    <w:p>
      <w:pPr>
        <w:spacing w:before="20" w:after="20"/>
        <w:ind w:left="170"/>
      </w:pPr>
      <w:r>
        <w:rPr>
          <w:rFonts w:ascii="Calibri" w:hAnsi="Calibri"/>
          <w:b/>
          <w:color w:val="4A6B25"/>
          <w:sz w:val="15"/>
        </w:rPr>
        <w:t xml:space="preserve">2. </w:t>
      </w:r>
      <w:r>
        <w:rPr>
          <w:rFonts w:ascii="Calibri" w:hAnsi="Calibri"/>
          <w:b w:val="0"/>
          <w:color w:val="3A4A28"/>
          <w:sz w:val="17"/>
        </w:rPr>
        <w:t>Sysco Q3 FY2026 Earnings Release — Sales +4.7%, U.S. Foodservice Volume +2.3%, U.S. Local Volumes +3.3%, Gross Profit +6.5% to $3.8B, YTD Operating Cash Flow +11% to $1.5B, YTD FCF +19% to $1.1B — GlobeNewsWire, April 2026</w:t>
      </w:r>
    </w:p>
    <w:p>
      <w:pPr>
        <w:spacing w:before="20" w:after="20"/>
        <w:ind w:left="170"/>
      </w:pPr>
      <w:r>
        <w:rPr>
          <w:rFonts w:ascii="Calibri" w:hAnsi="Calibri"/>
          <w:b/>
          <w:color w:val="4A6B25"/>
          <w:sz w:val="15"/>
        </w:rPr>
        <w:t xml:space="preserve">3. </w:t>
      </w:r>
      <w:r>
        <w:rPr>
          <w:rFonts w:ascii="Calibri" w:hAnsi="Calibri"/>
          <w:b w:val="0"/>
          <w:color w:val="3A4A28"/>
          <w:sz w:val="17"/>
        </w:rPr>
        <w:t>Sysco Strategic Board Appointments and AI Transformation Initiatives — AI Transformation &amp; Technology Committee (monthly meetings), two new directors for AI/tech/foodservice capabilities, board expanded to 13 directors effective September 1, 2026, CEO Hourican on AI investment — GlobeNewsWire, August 2026</w:t>
      </w:r>
    </w:p>
    <w:p>
      <w:pPr>
        <w:spacing w:before="20" w:after="20"/>
        <w:ind w:left="170"/>
      </w:pPr>
      <w:r>
        <w:rPr>
          <w:rFonts w:ascii="Calibri" w:hAnsi="Calibri"/>
          <w:b/>
          <w:color w:val="4A6B25"/>
          <w:sz w:val="15"/>
        </w:rPr>
        <w:t xml:space="preserve">4. </w:t>
      </w:r>
      <w:r>
        <w:rPr>
          <w:rFonts w:ascii="Calibri" w:hAnsi="Calibri"/>
          <w:b w:val="0"/>
          <w:color w:val="3A4A28"/>
          <w:sz w:val="17"/>
        </w:rPr>
        <w:t>StockAnalysis, Yahoo Finance — SYY Key Statistics: Stock Price ~$82, Forward P/E 15.46, Trailing P/E 20.55, ROE 81.9%, D/E 670%, Profit Margin 2.08%, Dividend Yield 2.97%, PEG 3.43, Revenue $84.55B, Avg Volume 5.7M,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Glassdoor, InsiderTrades — Sysco Culture Reviews: diminished morale, top-down management, lacking culture; Net insider buying $757K trailing 12 months; CEO Hourican owns ~$22M in stock, 303,643 shares; 75,000 employees — accessed September 2026</w:t>
      </w:r>
    </w:p>
    <w:p>
      <w:pPr>
        <w:spacing w:before="20" w:after="20"/>
        <w:ind w:left="170"/>
      </w:pPr>
      <w:r>
        <w:rPr>
          <w:rFonts w:ascii="Calibri" w:hAnsi="Calibri"/>
          <w:b/>
          <w:color w:val="4A6B25"/>
          <w:sz w:val="15"/>
        </w:rPr>
        <w:t xml:space="preserve">6. </w:t>
      </w:r>
      <w:r>
        <w:rPr>
          <w:rFonts w:ascii="Calibri" w:hAnsi="Calibri"/>
          <w:b w:val="0"/>
          <w:color w:val="3A4A28"/>
          <w:sz w:val="17"/>
        </w:rPr>
        <w:t>Sysco ESG Profile — $20M food safety settlement in California (2014), supplier water management concerns in Peru (2018), seafood supply chain labor rights partnerships, overall strong ESG management vs. industry peers — ETFdb, CSRHub,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