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TAK</w:t>
      </w:r>
      <w:r>
        <w:rPr>
          <w:rFonts w:ascii="Calibri" w:hAnsi="Calibri"/>
          <w:b/>
          <w:color w:val="1A2010"/>
          <w:sz w:val="40"/>
        </w:rPr>
        <w:t xml:space="preserve">  Takeda Pharmaceutical Company Limited</w:t>
      </w:r>
    </w:p>
    <w:p>
      <w:pPr>
        <w:spacing w:after="120"/>
      </w:pPr>
      <w:r>
        <w:rPr>
          <w:rFonts w:ascii="Calibri" w:hAnsi="Calibri"/>
          <w:b/>
          <w:color w:val="6E8450"/>
          <w:sz w:val="18"/>
        </w:rPr>
        <w:t>DIVIDEND SLEEVE · 2026-09-05 · Inspire: -67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58</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Healthcare · Drug Manufacturers - General · NYSE · Japan</w:t>
      </w:r>
    </w:p>
    <w:p>
      <w:pPr>
        <w:spacing w:after="80"/>
      </w:pPr>
      <w:r>
        <w:rPr>
          <w:rFonts w:ascii="Calibri" w:hAnsi="Calibri"/>
          <w:b w:val="0"/>
          <w:color w:val="3A4A28"/>
          <w:sz w:val="20"/>
        </w:rPr>
        <w:t>Takeda is a global, values-based biopharmaceutical leader headquartered in Tokyo with a 240+ year heritage dating to 1781. Focused on gastroenterology (ENTYVIO), rare diseases, plasma-derived therapies, oncology, and neuroscience, the company was transformed by the $62B Shire acquisition in 2019. FY2025 (ended March 2026) core revenue was JPY 4.5T, down 2.6% at constant exchange rates as Vyvanse loss of exclusivity weighed on results while Growth and Launch Products (&gt;50% of revenue) grew 4.5% at CER [1]. Three pivotal launches — oveporexton (narcolepsy type 1), rusfertide (polycythemia vera), and zasocitinib (psoriasis) — target the next growth phase with the first two aiming for U.S. launches in H2 2026.</w:t>
      </w:r>
    </w:p>
    <w:p>
      <w:r>
        <w:rPr>
          <w:rFonts w:ascii="Calibri" w:hAnsi="Calibri"/>
          <w:b/>
          <w:color w:val="6E8450"/>
          <w:sz w:val="18"/>
        </w:rPr>
        <w:t>49,000 Employees · https://www.takeda.com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(2/3): The $62B Shire acquisition in 2019 was a transformative strategic pivot, repositioning Takeda from a Japan-centric mid-size pharma into a global top-10 biopharmaceutical leader with dominant positions in rare diseases and plasma-derived therapies [1][2]. Growth and Launch Products now exceed 50% of total revenue and grew 4.5% at CER in FY2025, demonstrating successful portfolio transformation despite Vyvanse generic erosion. AI Deployment (1/2): CEO Christophe Weber has stated the company must 'fully liberate technology and AI across the entire value chain,' with dedicated AI teams hired for R&amp;D drug discovery, manufacturing optimization, and commercial analytics, but no specific AI-driven products shipping or quantified cost savings have been publicly reported [3]. Market Share (1/2): Global leader in plasma-derived therapies and gastrointestinal treatments with ENTYVIO generating over $5B annually; dominant positions in hereditary angioedema (HAE) through the Shire portfolio and growing rare disease franchise [1]. Product Pipeline (2/2): Three specific near-term launches with named timelines: oveporexton for narcolepsy type 1 and rusfertide for polycythemia vera both targeting U.S. launches in H2 2026, zasocitinib for psoriasis in late-stage development — management identified these as key growth drivers for FY2027-2030 [1]. R&amp;D Intensity (1/1): R&amp;D expenditure of approximately JPY 570B represents ~13% of revenue, at or above the large-cap pharma industry average, reflecting sustained pipeline investment despite near-term profitability pressure [1].</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Takeda's purpose — 'Better Health and a Brighter Future for people worldwide through leading innovation in medicine' — is specific and meaningful, anchored by the 240-year-old Takeda-ism values framework (Integrity, Fairness, Honesty, Perseverance) and CEO Weber's patient-first mantra: 'do the right thing for the patient, and the business will follow' [3]. The values shape strategic decisions including maintaining rare disease programs for small patient populations, clearly differentiating from peers. Community Impact (1/2): Takeda has extensive global patient access programs, sustainability commitments including net-zero GHG emissions by 2040, and sustainable procurement with supplier diversity integrated into its DEI strategy [4]. Specific charitable dollar amounts for community investment were not identified in public disclosures. Employee Retention (0/2): Glassdoor reviews reveal a mixed culture — collaborative and relationship-driven with emphasis on trust, but also risk-averse with 'inconsistent messaging from leadership' and 'slow internal processes with multiple layers of approval' that may hinder innovation [3]. No specific retention or tenure data available. Insider Buying (0/2): Recent insider transactions in 2026 are exclusively net selling — HR chief sold 34,603 ADS and General Counsel sold 30,868 ADS in August 2026, all mandatory tax-related sales on equity awards rather than discretionary purchases [5].</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metrics. Takeda's D/E of 73% is manageable and near the 70% target, while Forward P/E of 22.70 implies market expectation of significant earnings recovery [5]. However, GAAP profitability is severely depressed by Shire acquisition amortization: ROE of 0.47% and profit margin of only 0.75% on a reported basis drag the score substantially, even though core operating profitability is materially higher [1]. Revenue declined 1.7% YoY in FY2025 at actual exchange rates and 5-year revenue CAGR of ~7.3% reflects post-Shire scale gains [5]. The dividend has been paid consistently for 30+ years (scoring well on tenure at 2x weight), but 5-year dividend growth CAGR of just 0.19% and an elevated GAAP payout ratio of ~287% indicate minimal income growth [5]. The stock clears the liquidity floor with ~$57M in daily trading value.</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6</w:t>
      </w:r>
      <w:r>
        <w:rPr>
          <w:rFonts w:ascii="Calibri" w:hAnsi="Calibri"/>
          <w:b w:val="0"/>
          <w:color w:val="9DAF88"/>
          <w:sz w:val="18"/>
        </w:rPr>
        <w:t xml:space="preserve"> /10</w:t>
      </w:r>
    </w:p>
    <w:p>
      <w:pPr>
        <w:spacing w:after="120"/>
      </w:pPr>
      <w:r>
        <w:rPr>
          <w:rFonts w:ascii="Calibri" w:hAnsi="Calibri"/>
          <w:b w:val="0"/>
          <w:color w:val="3A4A28"/>
          <w:sz w:val="18"/>
        </w:rPr>
        <w:t>Takeda's 240-year heritage and Takeda-ism values (Integrity, Fairness, Honesty, Perseverance) give it one of the most authentic purpose foundations in global pharma, naturally inclining toward infinite-game thinking. The transformative Shire acquisition demonstrates existential flexibility, and CEO Weber's patient-first philosophy reflects infinite-minded leadership. However, the risk-averse internal culture, slow decision-making processes, and current financial pressures from Vyvanse LOE create tension between infinite aspirations and finite operational realities.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'Better Health, Brighter Future' grounded in Takeda-ism values established in 1781 is genuine, specific to healthcare, and has guided 240+ years of continuous pharmaceutical innovation through multiple crises and leadership transitions [1][3]. CEO Weber's patient-first principle has influenced strategic decisions including maintaining rare disease programs for small patient populations. However, the purpose hasn't been the singular competitive advantage in the way NVDA's 'accelerate computing' drove its AI dominance; strategic decisions are driven as much by commercial opportunity as by the Just Cause.</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Takeda's culture emphasizes collaboration over competition, with employees noting 'relationships run deep among colleagues and with leadership' [3]. However, Glassdoor reviews also flag a risk-averse environment that limits experimentation, inconsistent messaging from leadership, and slow processes with multiple approval layers — signs of bureaucratic constraints on psychological safety for risk-taking. Leadership continuity under Weber since 2015 provides stability, but organizational layers suggest adequate rather than exceptional trust.</w:t>
      </w:r>
    </w:p>
    <w:p>
      <w:pPr>
        <w:spacing w:before="200" w:after="40"/>
      </w:pPr>
      <w:r>
        <w:rPr>
          <w:rFonts w:ascii="Calibri" w:hAnsi="Calibri"/>
          <w:b/>
          <w:color w:val="1A2010"/>
          <w:sz w:val="22"/>
        </w:rPr>
        <w:t>Worthy Rivals</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(1/1): Takeda competes by focusing on therapeutic areas where it delivers the most patient impact rather than trying to dominate every category. The company's competitive strategy centers on unique strengths in rare diseases and plasma-derived therapies rather than head-to-head market share battles, and management frames competition in terms of 'speed and competitiveness' to bring medicines to patients rather than defeating specific rivals [2][3].</w:t>
      </w:r>
    </w:p>
    <w:p>
      <w:pPr>
        <w:spacing w:before="200" w:after="40"/>
      </w:pPr>
      <w:r>
        <w:rPr>
          <w:rFonts w:ascii="Calibri" w:hAnsi="Calibri"/>
          <w:b/>
          <w:color w:val="1A2010"/>
          <w:sz w:val="22"/>
        </w:rPr>
        <w:t>Existential Flexibility</w:t>
      </w:r>
    </w:p>
    <w:p>
      <w:pPr>
        <w:spacing w:before="0" w:after="40"/>
      </w:pPr>
      <w:r>
        <w:rPr>
          <w:rFonts w:ascii="Calibri" w:hAnsi="Calibri"/>
          <w:b/>
          <w:color w:val="16A34A"/>
          <w:sz w:val="28"/>
        </w:rPr>
        <w:t>10</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5512"/>
            <w:shd w:fill="16A34A" w:val="clear"/>
          </w:tcPr>
          <w:p>
            <w:pPr>
              <w:spacing w:before="0" w:after="0"/>
            </w:pPr>
            <w:r>
              <w:rPr>
                <w:rFonts w:ascii="Calibri" w:hAnsi="Calibri"/>
                <w:b w:val="0"/>
                <w:color w:val="1A2010"/>
                <w:sz w:val="4"/>
              </w:rPr>
            </w:r>
          </w:p>
        </w:tc>
        <w:tc>
          <w:tcPr>
            <w:tcW w:type="dxa" w:w="0"/>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(2/2): The $62B Shire acquisition in 2019 was a transformative pivot that fundamentally reinvented Takeda from a Japan-focused pharmaceutical firm into a top-10 global biopharmaceutical leader [1][2]. The company took on massive debt ($35B+), changed its organizational language to English, and shifted its center of gravity from Tokyo to a global operating model. This was driven by strategic vision of serving more patients globally rather than desperation — a textbook example of existential flexibility.</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The $62B Shire acquisition was one of the largest pharma deals in history and a genuinely courageous bet that loaded the company with significant debt to pursue a global vision [1]. Management is currently investing heavily in three pipeline launches despite near-term core EPS declining ~9% in FY2026 — choosing pipeline investment over short-term earnings [1]. However, the risk-averse internal culture suggests the acquisition may have been a singular act of courage rather than an organizational pattern of bold decision-making.</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Takeda at 22.70x forward earnings offers a discounted entry into a global top-10 pharma franchise with a pipeline inflection ahead. Growth and Launch Products already represent &gt;50% of revenue and grew 4.5% at constant currency in FY2025, positioning Takeda to offset the Vyvanse LOE headwind [1]. Three pivotal near-term launches — oveporexton (narcolepsy type 1, targeting U.S. launch H2 2026), rusfertide (polycythemia vera), and zasocitinib (psoriasis) — represent the growth catalysts through 2030. The 2.82% dividend yield provides income while investors wait for the pipeline to inflect, D/E of 73% is manageable, and deleveraging from 4x net debt/EBITDA post-Shire to 2.6x demonstrates disciplined balance sheet repair [5]. The 240-year corporate heritage and Takeda-ism values framework provide institutional durability rare among global pharma peers.</w:t>
      </w:r>
    </w:p>
    <w:p>
      <w:pPr>
        <w:spacing w:after="120"/>
      </w:pPr>
      <w:r>
        <w:rPr>
          <w:rFonts w:ascii="Calibri" w:hAnsi="Calibri"/>
          <w:b w:val="0"/>
          <w:color w:val="3A4A28"/>
          <w:sz w:val="20"/>
        </w:rPr>
        <w:t>The bear case centers on execution risk and severely depressed GAAP profitability. Reported ROE of 0.47% and profit margin of 0.75% — driven by Shire acquisition amortization — mask healthier core economics but make the stock unappealing to quantitative screens [5]. FY2026 guidance of low-single-digit core revenue decline and 5-8% core operating profit decline at constant exchange rates indicates the Vyvanse LOE trough has not yet been fully absorbed [1]. Core EPS is expected to fall by mid-teens percent in FY2026, and any clinical or regulatory setback on the three key pipeline launches could delay the growth inflection by years. Yen-dollar currency volatility creates ongoing translation risk for ADR investors, and the company's risk-averse culture may hinder the AI transformation Weber envisions [3]. Net debt/EBITDA of 2.6x remains above management's 2x target, constraining capital return flexibility. The Inspire Impact Score of -67 (MISALIGNED) further limits allocation for faith-based investors.</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Oveporexton (TAK-861) for narcolepsy type 1 targeting U.S. launch in H2 2026 — a potential blockbuster addressing a market with significant unmet medical need and limited effective treatments [1]</w:t>
      </w:r>
    </w:p>
    <w:p>
      <w:pPr>
        <w:spacing w:before="40" w:after="40"/>
        <w:ind w:left="283"/>
      </w:pPr>
      <w:r>
        <w:rPr>
          <w:rFonts w:ascii="Calibri" w:hAnsi="Calibri"/>
          <w:b/>
          <w:color w:val="4A6B25"/>
          <w:sz w:val="20"/>
        </w:rPr>
        <w:t xml:space="preserve">2. </w:t>
      </w:r>
      <w:r>
        <w:rPr>
          <w:rFonts w:ascii="Calibri" w:hAnsi="Calibri"/>
          <w:b w:val="0"/>
          <w:color w:val="3A4A28"/>
          <w:sz w:val="20"/>
        </w:rPr>
        <w:t>Growth and Launch Products exceeding 50% of total revenue and growing 4.5% at CER, demonstrating the post-Shire portfolio transformation is generating organic growth that could accelerate as Vyvanse LOE headwinds fully lap [1]</w:t>
      </w:r>
    </w:p>
    <w:p>
      <w:pPr>
        <w:spacing w:before="40" w:after="40"/>
        <w:ind w:left="283"/>
      </w:pPr>
      <w:r>
        <w:rPr>
          <w:rFonts w:ascii="Calibri" w:hAnsi="Calibri"/>
          <w:b/>
          <w:color w:val="4A6B25"/>
          <w:sz w:val="20"/>
        </w:rPr>
        <w:t xml:space="preserve">3. </w:t>
      </w:r>
      <w:r>
        <w:rPr>
          <w:rFonts w:ascii="Calibri" w:hAnsi="Calibri"/>
          <w:b w:val="0"/>
          <w:color w:val="3A4A28"/>
          <w:sz w:val="20"/>
        </w:rPr>
        <w:t>Continued balance sheet deleveraging from 2.6x net debt/EBITDA toward the 2x target, which would unlock increased capital returns and reduce interest expense headwinds to EPS growth [1][5]</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Vyvanse loss of exclusivity continues to create a revenue hole — FY2026 core revenue guided to low-single-digit decline at CER and core EPS expected to fall mid-teens percent, with no clear timeline for Growth Products fully offsetting the Neuroscience franchise decline [1]</w:t>
      </w:r>
    </w:p>
    <w:p>
      <w:pPr>
        <w:spacing w:before="40" w:after="40"/>
        <w:ind w:left="283"/>
      </w:pPr>
      <w:r>
        <w:rPr>
          <w:rFonts w:ascii="Calibri" w:hAnsi="Calibri"/>
          <w:b/>
          <w:color w:val="4A6B25"/>
          <w:sz w:val="20"/>
        </w:rPr>
        <w:t xml:space="preserve">2. </w:t>
      </w:r>
      <w:r>
        <w:rPr>
          <w:rFonts w:ascii="Calibri" w:hAnsi="Calibri"/>
          <w:b w:val="0"/>
          <w:color w:val="3A4A28"/>
          <w:sz w:val="20"/>
        </w:rPr>
        <w:t>GAAP profitability severely compressed (0.75% net margin, 0.47% ROE) due to ongoing Shire acquisition amortization, making the stock unattractive to quantitative screens and value investors focused on reported earnings [5]</w:t>
      </w:r>
    </w:p>
    <w:p>
      <w:pPr>
        <w:spacing w:before="40" w:after="40"/>
        <w:ind w:left="283"/>
      </w:pPr>
      <w:r>
        <w:rPr>
          <w:rFonts w:ascii="Calibri" w:hAnsi="Calibri"/>
          <w:b/>
          <w:color w:val="4A6B25"/>
          <w:sz w:val="20"/>
        </w:rPr>
        <w:t xml:space="preserve">3. </w:t>
      </w:r>
      <w:r>
        <w:rPr>
          <w:rFonts w:ascii="Calibri" w:hAnsi="Calibri"/>
          <w:b w:val="0"/>
          <w:color w:val="3A4A28"/>
          <w:sz w:val="20"/>
        </w:rPr>
        <w:t>Risk-averse organizational culture with 'slow internal processes and multiple layers of approval' could impair pace of pipeline innovation and AI transformation, creating execution risk on the growth roadmap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(7/9): Takeda's core business — discovering, manufacturing, and distributing pharmaceutical products — is structurally protected from AI disruption. Drug development requires physical clinical trials, FDA/EMA regulatory approval, complex biologic manufacturing, and global cold-chain supply operations that AI cannot replicate or replace [3]. Plasma-derived therapies require biological inputs inherently non-replicable by technology. Deep regulatory moats, patent protections, and physical-world operations make pharma one of the most AI-resilient sectors. However, AI is accelerating competitor drug discovery timelines, potentially compressing Takeda's competitive R&amp;D advantages, and the company's risk-averse culture could slow AI adoption relative to more agile biotech peers. AI Opportunity (0/1): Takeda is integrating AI across its R&amp;D pipeline and has established a Transformation Office for digital initiatives, but no quantifiable AI-driven revenue or specific cost savings have been publicly reported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DC2626"/>
          <w:sz w:val="28"/>
        </w:rPr>
        <w:t>-67</w:t>
      </w:r>
      <w:r>
        <w:rPr>
          <w:rFonts w:ascii="Calibri" w:hAnsi="Calibri"/>
          <w:b/>
          <w:color w:val="B8860B"/>
          <w:sz w:val="20"/>
        </w:rPr>
        <w:t xml:space="preserve">    MISALIGNED</w:t>
      </w:r>
    </w:p>
    <w:p>
      <w:pPr>
        <w:spacing w:before="80" w:after="40"/>
      </w:pPr>
      <w:r>
        <w:rPr>
          <w:rFonts w:ascii="Calibri" w:hAnsi="Calibri"/>
          <w:b/>
          <w:color w:val="6E8450"/>
          <w:sz w:val="18"/>
        </w:rPr>
        <w:t xml:space="preserve">Negative: </w:t>
      </w:r>
      <w:r>
        <w:rPr>
          <w:rFonts w:ascii="Calibri" w:hAnsi="Calibri"/>
          <w:b/>
          <w:color w:val="DC2626"/>
          <w:sz w:val="17"/>
        </w:rPr>
        <w:t xml:space="preserve"> Abortion Activism </w:t>
      </w:r>
      <w:r>
        <w:rPr>
          <w:rFonts w:ascii="Calibri" w:hAnsi="Calibri"/>
          <w:b w:val="0"/>
          <w:color w:val="9DAF88"/>
          <w:sz w:val="17"/>
        </w:rPr>
        <w:t xml:space="preserve">  ·  </w:t>
      </w:r>
      <w:r>
        <w:rPr>
          <w:rFonts w:ascii="Calibri" w:hAnsi="Calibri"/>
          <w:b/>
          <w:color w:val="DC2626"/>
          <w:sz w:val="17"/>
        </w:rPr>
        <w:t xml:space="preserve"> LGBT Activism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Takeda FY2025 Full Year Results and FY2026 Outlook — Core Revenue JPY 4.5T (-2.6% CER), Growth Products &gt;50% of Revenue (+4.5% CER), Core EPS FY2026 Guided Down Mid-Teens %, May 2026</w:t>
      </w:r>
    </w:p>
    <w:p>
      <w:pPr>
        <w:spacing w:before="20" w:after="20"/>
        <w:ind w:left="170"/>
      </w:pPr>
      <w:r>
        <w:rPr>
          <w:rFonts w:ascii="Calibri" w:hAnsi="Calibri"/>
          <w:b/>
          <w:color w:val="4A6B25"/>
          <w:sz w:val="15"/>
        </w:rPr>
        <w:t xml:space="preserve">2. </w:t>
      </w:r>
      <w:r>
        <w:rPr>
          <w:rFonts w:ascii="Calibri" w:hAnsi="Calibri"/>
          <w:b w:val="0"/>
          <w:color w:val="3A4A28"/>
          <w:sz w:val="17"/>
        </w:rPr>
        <w:t>Forbes — 'A Decade of Innovation: How This CEO Transformed A Global Pharma Giant' — Christophe Weber, Shire Acquisition, Leadership Vision, February 2024</w:t>
      </w:r>
    </w:p>
    <w:p>
      <w:pPr>
        <w:spacing w:before="20" w:after="20"/>
        <w:ind w:left="170"/>
      </w:pPr>
      <w:r>
        <w:rPr>
          <w:rFonts w:ascii="Calibri" w:hAnsi="Calibri"/>
          <w:b/>
          <w:color w:val="4A6B25"/>
          <w:sz w:val="15"/>
        </w:rPr>
        <w:t xml:space="preserve">3. </w:t>
      </w:r>
      <w:r>
        <w:rPr>
          <w:rFonts w:ascii="Calibri" w:hAnsi="Calibri"/>
          <w:b w:val="0"/>
          <w:color w:val="3A4A28"/>
          <w:sz w:val="17"/>
        </w:rPr>
        <w:t>Takeda Corporate Website, Glassdoor Reviews, CEO AI Strategy — Mission/Vision, Employee Culture, AI Transformation Office, accessed September 2026</w:t>
      </w:r>
    </w:p>
    <w:p>
      <w:pPr>
        <w:spacing w:before="20" w:after="20"/>
        <w:ind w:left="170"/>
      </w:pPr>
      <w:r>
        <w:rPr>
          <w:rFonts w:ascii="Calibri" w:hAnsi="Calibri"/>
          <w:b/>
          <w:color w:val="4A6B25"/>
          <w:sz w:val="15"/>
        </w:rPr>
        <w:t xml:space="preserve">4. </w:t>
      </w:r>
      <w:r>
        <w:rPr>
          <w:rFonts w:ascii="Calibri" w:hAnsi="Calibri"/>
          <w:b w:val="0"/>
          <w:color w:val="3A4A28"/>
          <w:sz w:val="17"/>
        </w:rPr>
        <w:t>Takeda Sustainability Disclosures — Net-Zero 2040 Commitment, Sustainable Procurement, ESG Materiality Assessment, accessed September 2026</w:t>
      </w:r>
    </w:p>
    <w:p>
      <w:pPr>
        <w:spacing w:before="20" w:after="20"/>
        <w:ind w:left="170"/>
      </w:pPr>
      <w:r>
        <w:rPr>
          <w:rFonts w:ascii="Calibri" w:hAnsi="Calibri"/>
          <w:b/>
          <w:color w:val="4A6B25"/>
          <w:sz w:val="15"/>
        </w:rPr>
        <w:t xml:space="preserve">5. </w:t>
      </w:r>
      <w:r>
        <w:rPr>
          <w:rFonts w:ascii="Calibri" w:hAnsi="Calibri"/>
          <w:b w:val="0"/>
          <w:color w:val="3A4A28"/>
          <w:sz w:val="17"/>
        </w:rPr>
        <w:t>StockAnalysis, GuruFocus, Dividend.com — TAK Key Statistics: Forward P/E 22.70, ROE 0.47%, Profit Margin 0.75%, D/E 73%, Stock Price $17.25, Dividend Yield 2.82%, Avg Volume 3.31M,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