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TDIC</w:t>
      </w:r>
      <w:r>
        <w:rPr>
          <w:rFonts w:ascii="Calibri" w:hAnsi="Calibri"/>
          <w:b/>
          <w:color w:val="1A2010"/>
          <w:sz w:val="40"/>
        </w:rPr>
        <w:t xml:space="preserve">  Dreamland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Advertising Agencies / Event Management · NASDAQ · Hong Kong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Dreamland Limited, through Hong Kong-based subsidiaries, provides event management services — planning, promotion, and production of trade shows, conferences, concerts, exhibitions, charity galas, and corporate brand events. The company completed its Nasdaq IPO in July 2025 and, through subsidiary Trendic International Limited, signed a non-binding memorandum of understanding in 2026 to explore an AI-powered intelligent image library platform.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Dreamland's core event-management business shows no meaningful technology differentiation, and its sole innovation catalyst is a non-binding MoU with LinkFung Innovation Limited to explore a 12-month AI image-library project (real-time face detection, automated tagging, vector database infrastructure) that carries no committed revenue and no assurance of a definitive agreement[2][3]. There is no disclosed R&amp;D spend, patent portfolio, or market-share leadership to support a higher score.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Public disclosure shows no evidence of a distinctive mission, community-impact program, or employee-retention initiative beyond standard event-industry operations, and the company's post-IPO narrative has centered on speculative AI positioning rather than stakeholder-driven mission execution[1][3]. Net losses widened sharply (from a HK$6.4 million profit in FY2025 to a HK$74.1 million loss in FY2026), which is inconsistent with a strong inspiration or stewardship story.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Mechanically, Dreamland fails nearly every infrastructure metric: return on equity is deeply negative (-1,012%), debt-to-equity stands at ~395% (well past the 300% floor), profit margin is -146%, and full-year revenue contracted 27.5% even as half-year revenue rose on a small base[1]. Average dollar volume (~$1.09 million) sits just above the $1 million liquidity floor, but the stock also carries a Nasdaq minimum-bid-price deficiency notice issued in November 2025, adding delisting and reverse-split risk on top of the failing fundamentals[1][5].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Dreamland's post-IPO trajectory — widening losses, a Nasdaq compliance deficiency, and a stock-price surge driven by a non-binding AI MoU — reflects a company oriented toward short-term market attention rather than durable, long-term value creation.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public evidence of a cause beyond conventional event-management services, and the recent AI pivot reads as opportunistic narrative-chasing rather than mission-driven strategy[3].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As a small, recently-IPO'd company with a concentrated ownership/founder structure, there is minimal public disclosure on internal culture or team empowerment.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Dreamland operates in a fragmented Hong Kong events market against larger established players like Pico Far East Holdings, without evidence of destructive competitive behavior.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pivot toward an AI image-library platform shows willingness to adapt the business model, but the non-binding nature of the MoU and lack of execution track record limit credit for genuine strategic flexibility[3].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Announcing a speculative, non-binding AI MoU shortly after a Nasdaq compliance deficiency notice suggests reactive market-attention-seeking rather than deliberate, courageous long-term leadership[3][5].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Dreamland is a micro-cap ($6.7 million market cap) Hong Kong event-management company that completed its Nasdaq IPO in July 2025 and has since deteriorated financially, swinging from a HK$6.4 million profit to a HK$74.1 million net loss while revenue contracted 27.5% for the fiscal year[1]. The stock's extreme volatility (moves of up to 58.67% in a day, a 370%+ rally in under a month) is driven almost entirely by a non-binding MoU to explore an AI-powered image library platform with LinkFung Innovation, a project with no committed revenue, no definitive agreement, and a 12-month speculative timeline[2][3].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Compounding the fundamental weakness, Dreamland received a Nasdaq notification in November 2025 for failing to maintain the $1.00 minimum bid price requirement, creating real delisting or reverse-split risk independent of the AI narrative[5]. Every mechanically-scored infrastructure metric — leverage, ROE, margins, revenue growth — is at or near the worst end of the scoring range, and trading liquidity, while barely above the $1 million/day threshold, is thin and erratic. At a 26/100 overall score, this is a clear SELL: the business fundamentals are deteriorating and the speculative AI catalyst does not yet constitute evidence of a viable path to profitability.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 definitive, revenue-generating agreement stemming from the LinkFung AI image-library MoU (currently non-binding)[3]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Regaining Nasdaq minimum bid price compliance, avoiding delisting or a reverse stock split[5]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Stabilization or recovery of core Hong Kong event-management revenue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Nasdaq delisting risk from continued minimum bid price non-compliance[5]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Widening net losses (HK$74.1 million in the most recent fiscal year) with no clear path to profitability[1]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AI image-library initiative is non-binding with no assurance of a definitive agreement or completion[3]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Extremely thin and volatile trading liquidity increasing execution risk for any position size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5. </w:t>
      </w:r>
      <w:r>
        <w:rPr>
          <w:rFonts w:ascii="Calibri" w:hAnsi="Calibri"/>
          <w:b w:val="0"/>
          <w:color w:val="3A4A28"/>
          <w:sz w:val="20"/>
        </w:rPr>
        <w:t>Small public float and early-stage governance typical of recent micro-cap IPOs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NEUTRAL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is a speculative optionality lever rather than a proven resilience factor: the Trendic/LinkFung MoU for an AI image-library platform triggered stock moves of up to 58.67% in a single day, indicating the market is pricing an unproven narrative rather than a demonstrated capability[3]. The underlying event-management business faces low direct AI disruption risk, but the pivot toward facial-recognition/image AI introduces new data-privacy and regulatory exposure in Hong Kong without an offsetting track record of execution.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Dreamland swings to HK$74.1m loss on 10% revenue rise, StockTitan (Form 20-F filing coverage)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Dreamland Limited's subsidiary Trendic International Limited and LinkFung sign AI image platform MoU, StockTitan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TDIC Stock Surged 127%, Turns AI MoU Into a Volatility Test, EBC Financial Group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What Going On With Dreamland Stock On Thursday?, Benzinga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Dreamland Ltd Nasdaq minimum bid price non-compliance notification coverage, StockTitan, November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— TDIC key statistics,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