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TEAD</w:t>
      </w:r>
      <w:r>
        <w:rPr>
          <w:rFonts w:ascii="Calibri" w:hAnsi="Calibri"/>
          <w:b/>
          <w:color w:val="1A2010"/>
          <w:sz w:val="40"/>
        </w:rPr>
        <w:t xml:space="preserve">  Teads Holding Co.</w:t>
      </w:r>
    </w:p>
    <w:p>
      <w:pPr>
        <w:spacing w:after="120"/>
      </w:pPr>
      <w:r>
        <w:rPr>
          <w:rFonts w:ascii="Calibri" w:hAnsi="Calibri"/>
          <w:b/>
          <w:color w:val="6E8450"/>
          <w:sz w:val="18"/>
        </w:rPr>
        <w:t>GROWTH SLEEVE · 2026-09-14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Teads Holding Co. operates a two-sided omnichannel advertising technology platform connecting media owners with advertisers across video, display, native, and CTV formats. Formerly Outbrain Inc., the company completed the $1B acquisition of Legacy Teads in Q1 2025, rebranding as Teads Holding Co. Q2 2026 revenue of $284.6M declined 17% YoY with a net loss of $42.5M. CTV revenue surged 67% to ~$40M (13% of total), but management suspended full-year guidance amid deteriorating Direct Response and SME demand. Market cap approximately $85M at $0.50/share.</w:t>
      </w:r>
    </w:p>
    <w:p>
      <w:r>
        <w:rPr>
          <w:rFonts w:ascii="Calibri" w:hAnsi="Calibri"/>
          <w:b/>
          <w:color w:val="6E8450"/>
          <w:sz w:val="18"/>
        </w:rPr>
        <w:t>1,700 Employees · https://www.teads.com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Outbrain-Teads merger created a combined omnichannel platform, but Q2 2026 revenue declined 17% YoY to $284.6M (accelerating from -7% in Q1), and management suspended full-year guidance, suggesting the merger has not stabilized the business [1][2]. Integration complexity has consumed leadership attention at the expense of innovation. AI Deployment (1/2): Teads deploys predictive AI across its platform for targeting, creative optimization, and campaign performance — AI is embedded throughout the ad-serving stack with CTO Damien Islam-Frenoy leading technology and AI capabilities [3]. Specific quantified revenue from AI capabilities were not broken out. Market Share (1/2): CTV revenue surged 67% YoY to approximately $40M in Q2, now representing 13% of total revenue (up from 7%), demonstrating genuine share gains in the fastest-growing ad format [2]. Enterprise client pipeline is growing with notable wins. However, the company remains small versus Google, Meta, and The Trade Desk. Pipeline (0/2): Full-year guidance suspended in Q2 amid volatility in Direct Response and SME demand, eliminating forward visibility [2]. No specific next-generation products with launch dates were identified. R&amp;D Intensity (1/1): Active engineering and AI development investment in platform capabilities, consistent with ad-tech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Teads' purpose of powering advertising 'for the open internet' while 'funding quality journalism' is a genuine but generic ad-tech aspiration — the company sued Google over anti-competitive ad practices, demonstrating some willingness to fight for the open internet mission [3]. Community Impact (0/2): No charitable foundation, community programs, or philanthropic investments identified; sustainability focus is limited to measuring environmental footprint of programmatic advertising. Employee Retention (1/2): Glassdoor rating of 3.9/5 with 76% recommending suggests reasonable culture, though the 200+ headcount reduction in 2025 and ongoing merger integration stress indicate cultural challenges [4]. Leadership continuity with CEO Kostman since 2017 (originally as Outbrain Co-CEO) provides some stability. Insider Buying (2/2): Meaningful net insider buying by multiple C-suite executives — CEO David Kostman bought 46,500 shares at $1.07-1.19 ($50-55K), and CCO Mary Spilman purchased 105,000 shares at $0.99 ($104K) in open-market transactions during May-June 2026, with net insider buying exceeding selling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360,000 shares at $0.50/share yields daily notional value of approximately $180,000, far below the $1,000,000 IOWN liquidity threshold — Infrastructure score is automatically set to 0 [6]. Even using the higher 3-month average of 1.86M shares, daily notional of $936K still falls below $1M at the current price. Underlying metrics are severely distressed: D/E of ~1,300% reflects the leveraged $1B Teads acquisition with $649M debt against shrinking equity [6]. Revenue declined 17% YoY in Q2 2026 to $284.6M with a GAAP net loss of $42.5M, and management suspended full-year guidance [2]. Adjusted EBITDA of $7.0M in Q2 (down from $27M in Q2 2025) shows operational deterioration beyond integration noise. Forward P/E is negative as continued losses are expected. Profit margin is deeply negative at approximately -15%. The $0.50 share price risks NASDAQ delisting if it remains sub-$1 for an extended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Teads exhibits predominantly finite-game behavior — revenue declining 17% in Q2 and suspended full-year guidance reflect a company in crisis mode, not playing to endure. The Outbrain-Teads merger was driven by survival necessity, and accelerating revenue decline despite the $1B acquisition suggests the strategic thesis is failing. CTV growth of 67% is a genuine bright spot that shows some capacity for adaptation, but the broader trajectory is one of organizational contraction and financial distress.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Teads' purpose of powering the 'open internet' and 'funding quality journalism' is genuinely important to the media ecosystem. The lawsuit against Google over anti-competitive ad practices shows willingness to fight for this cause [3]. However, revenue declining 17%, suspended guidance, and aggressive cost-cutting suggest the cause serves the investor pitch more than strategic decisions — survival has displaced purpose as the primary operating objective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3.9/5 and 76% recommendation rate suggest employees generally value the work environment [4]. However, the 200+ headcount reduction in 2025, suspended guidance creating uncertainty, and ongoing merger integration friction between legacy Outbrain and Teads cultures undermine psychological safety during what is clearly a period of organizational stress.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Teads competes against Google and Meta, which together command 50%+ of digital ad spend. The company's competitive framing focuses on building a better alternative for the open internet rather than attacking competitors — the Google lawsuit targets anti-competitive behavior rather than seeking to destroy a rival [3]. Management positions Teads as complementary to the walled gardens rather than in a zero-sum battle.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Outbrain-Teads merger and rapid CTV expansion (now 13% of revenue, up from 7%) demonstrate strategic adaptability — the company is shifting its revenue center of gravity from legacy content recommendation to omnichannel and connected TV [2]. However, this adaptation was forced by secular decline in the core business rather than a visionary pivot in service of a deeper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 decisions appear primarily reactive — the $1B Teads merger was defensive, the 200+ headcount reduction was forced by losses, and suspending guidance in Q2 reflects inability to forecast rather than strategic choice [2]. With revenue declining 17%, net loss of $42.5M, and adjusted EBITDA down from $27M to $7M YoY, the company lacks the financial runway to make bold bets. CEO Kostman's $50K in open-market purchases shows personal conviction but not organizational courage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Teads is a deeply distressed ad-tech company where CTV is the sole bright spot — Q2 2026 CTV revenue surged 67% YoY to ~$40M, now 13% of total (up from 7%), demonstrating real traction in the fastest-growing ad format and suggesting the combined platform has genuine value in connected TV [2]. CEO Kostman ($50K) and CCO Spilman ($104K) made open-market purchases at $0.99-1.19, signaling C-suite conviction at prices above the current $0.50 [5]. At $85M market cap against TTM revenue of $1.22B, the stock trades at 0.07x revenue — extreme distressed pricing that could offer significant optionality if CTV growth continues and merger synergies stabilize margins. The platform serves premium publishers including The Wall Street Journal, BBC, and Le Monde, providing a quality positioning advantage.</w:t>
      </w:r>
    </w:p>
    <w:p>
      <w:pPr>
        <w:spacing w:after="120"/>
      </w:pPr>
      <w:r>
        <w:rPr>
          <w:rFonts w:ascii="Calibri" w:hAnsi="Calibri"/>
          <w:b w:val="0"/>
          <w:color w:val="3A4A28"/>
          <w:sz w:val="20"/>
        </w:rPr>
        <w:t>The bear case is overwhelming: Q2 revenue declined 17% YoY to $284.6M (accelerating from -7% in Q1) with a GAAP net loss of $42.5M, and management suspended full-year guidance amid 'volatility in Direct Response and SME demand' [2]. Adjusted EBITDA collapsed from $27M (Q2 2025) to $7M (Q2 2026), undermining the path to profitability. D/E of ~1,300% with $649M in acquisition debt against a business burning cash creates serious going-concern risk [6]. The $0.50 stock price with only ~$180K daily traded value firmly breaches the IOWN $1M liquidity floor and puts NASDAQ delisting at risk (sub-$1 for extended period). AI disruption threatens the core business — generative AI reducing creative demand, AI search reducing publisher traffic, and AI assistants potentially disintermediating display advertising. Revenue declining 17% despite a $1B acquisition suggests structural competitive displacement by Google, Meta, and The Trade Desk that CTV growth alone cannot offset. SELL reflects unsustainable leverage, accelerating revenue decline, existential competitive threats, and severe illiquidity.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CTV revenue growing 67% YoY to ~$40M with expanding share — if CTV becomes 25%+ of revenue and continues at this growth rate, it could offset declines in legacy formats and redefine the company's value proposition [2]</w:t>
      </w:r>
    </w:p>
    <w:p>
      <w:pPr>
        <w:spacing w:before="40" w:after="40"/>
        <w:ind w:left="283"/>
      </w:pPr>
      <w:r>
        <w:rPr>
          <w:rFonts w:ascii="Calibri" w:hAnsi="Calibri"/>
          <w:b/>
          <w:color w:val="4A6B25"/>
          <w:sz w:val="20"/>
        </w:rPr>
        <w:t xml:space="preserve">2. </w:t>
      </w:r>
      <w:r>
        <w:rPr>
          <w:rFonts w:ascii="Calibri" w:hAnsi="Calibri"/>
          <w:b w:val="0"/>
          <w:color w:val="3A4A28"/>
          <w:sz w:val="20"/>
        </w:rPr>
        <w:t>Merger synergies of $65-75M targeted for FY2026 could bridge to EBITDA profitability if the revenue decline moderates — the platform's premium publisher network and enterprise client wins suggest a stabilization floor may exist [1]</w:t>
      </w:r>
    </w:p>
    <w:p>
      <w:pPr>
        <w:spacing w:before="40" w:after="40"/>
        <w:ind w:left="283"/>
      </w:pPr>
      <w:r>
        <w:rPr>
          <w:rFonts w:ascii="Calibri" w:hAnsi="Calibri"/>
          <w:b/>
          <w:color w:val="4A6B25"/>
          <w:sz w:val="20"/>
        </w:rPr>
        <w:t xml:space="preserve">3. </w:t>
      </w:r>
      <w:r>
        <w:rPr>
          <w:rFonts w:ascii="Calibri" w:hAnsi="Calibri"/>
          <w:b w:val="0"/>
          <w:color w:val="3A4A28"/>
          <w:sz w:val="20"/>
        </w:rPr>
        <w:t>Extreme distressed valuation at 0.07x TTM revenue ($85M market cap / $1.22B revenue) creates optionality — any positive inflection in revenue trajectory or strategic acquisition interest could drive outsized returns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 accelerated from -7% (Q1) to -17% (Q2) with full-year guidance suspended — the trajectory suggests structural demand destruction in Direct Response and SME segments that CTV growth cannot offset [2]</w:t>
      </w:r>
    </w:p>
    <w:p>
      <w:pPr>
        <w:spacing w:before="40" w:after="40"/>
        <w:ind w:left="283"/>
      </w:pPr>
      <w:r>
        <w:rPr>
          <w:rFonts w:ascii="Calibri" w:hAnsi="Calibri"/>
          <w:b/>
          <w:color w:val="4A6B25"/>
          <w:sz w:val="20"/>
        </w:rPr>
        <w:t xml:space="preserve">2. </w:t>
      </w:r>
      <w:r>
        <w:rPr>
          <w:rFonts w:ascii="Calibri" w:hAnsi="Calibri"/>
          <w:b w:val="0"/>
          <w:color w:val="3A4A28"/>
          <w:sz w:val="20"/>
        </w:rPr>
        <w:t>D/E of ~1,300% with $649M acquisition debt and Q2 adjusted EBITDA of only $7M creates going-concern risk — cash generation is insufficient to service debt without significant operational improvement [6]</w:t>
      </w:r>
    </w:p>
    <w:p>
      <w:pPr>
        <w:spacing w:before="40" w:after="40"/>
        <w:ind w:left="283"/>
      </w:pPr>
      <w:r>
        <w:rPr>
          <w:rFonts w:ascii="Calibri" w:hAnsi="Calibri"/>
          <w:b/>
          <w:color w:val="4A6B25"/>
          <w:sz w:val="20"/>
        </w:rPr>
        <w:t xml:space="preserve">3. </w:t>
      </w:r>
      <w:r>
        <w:rPr>
          <w:rFonts w:ascii="Calibri" w:hAnsi="Calibri"/>
          <w:b w:val="0"/>
          <w:color w:val="3A4A28"/>
          <w:sz w:val="20"/>
        </w:rPr>
        <w:t>NASDAQ delisting risk at $0.50/share with only ~$180K daily traded value — breaching the $1M IOWN liquidity floor means the stock is essentially untradeable for institutional investors, and delisting would further devastate liquidity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Teads operates in the digital advertising intermediary space facing meaningful AI disruption from multiple vectors. Generative AI enables advertisers to create high-quality creative content without agencies, reducing demand for Teads' creative services. Google's AI Overviews and AI-powered search experiences reduce click-through rates to publisher content, threatening the content-recommendation business inherited from Outbrain [3]. Large language models powering conversational AI assistants may eventually disintermediate display and native advertising entirely. The Q2 revenue decline of 17% may partly reflect early AI-driven disruption of the Direct Response and SME segments that drove the guidance suspension [2]. The company's moat — publisher relationships and two-sided marketplace network effects — is weaker than walled-garden competitors who own user attention directly. AI Opportunity (1/1): Teads generates revenue from AI-powered advertising solutions — its predictive AI platform optimizes targeting, creative, and campaign performance, and CTV growth of 67% is partially AI-driven through algorithmic ad placement and audience targeting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Teads Holding Co. Q1 2026 Earnings Release — Revenue EUR 266M (-7% YoY), net loss $38.8M, FY2026 EBITDA guidance ~$100M, merger synergies $65-75M; May 2026</w:t>
      </w:r>
    </w:p>
    <w:p>
      <w:pPr>
        <w:spacing w:before="20" w:after="20"/>
        <w:ind w:left="170"/>
      </w:pPr>
      <w:r>
        <w:rPr>
          <w:rFonts w:ascii="Calibri" w:hAnsi="Calibri"/>
          <w:b/>
          <w:color w:val="4A6B25"/>
          <w:sz w:val="15"/>
        </w:rPr>
        <w:t xml:space="preserve">2. </w:t>
      </w:r>
      <w:r>
        <w:rPr>
          <w:rFonts w:ascii="Calibri" w:hAnsi="Calibri"/>
          <w:b w:val="0"/>
          <w:color w:val="3A4A28"/>
          <w:sz w:val="17"/>
        </w:rPr>
        <w:t>Teads Holding Co. Q2 2026 Earnings Release — Revenue $284.6M (-17% YoY), net loss $42.5M, Adjusted EBITDA $7.0M, CTV +67% to ~$40M, full-year guidance suspended; August 2026</w:t>
      </w:r>
    </w:p>
    <w:p>
      <w:pPr>
        <w:spacing w:before="20" w:after="20"/>
        <w:ind w:left="170"/>
      </w:pPr>
      <w:r>
        <w:rPr>
          <w:rFonts w:ascii="Calibri" w:hAnsi="Calibri"/>
          <w:b/>
          <w:color w:val="4A6B25"/>
          <w:sz w:val="15"/>
        </w:rPr>
        <w:t xml:space="preserve">3. </w:t>
      </w:r>
      <w:r>
        <w:rPr>
          <w:rFonts w:ascii="Calibri" w:hAnsi="Calibri"/>
          <w:b w:val="0"/>
          <w:color w:val="3A4A28"/>
          <w:sz w:val="17"/>
        </w:rPr>
        <w:t>Teads Corporate Website — CEO Kostman, CTO Islam-Frenoy (AI/platform), CMO Dani Cushion, predictive AI platform, open internet mission, Google lawsuit; teads.com,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Teads/Outbrain, 3.9/5 rating, 76% recommend, 200+ headcount reduction;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NASDAQ / StockTitan — TEAD insider trading: CEO Kostman 46,500 shares at $1.07-1.19, CCO Spilman 105,000 shares at $0.99; May-June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Yahoo Finance — TEAD: stock price $0.50, market cap $85M, D/E ~1,300%, avg volume 360K (3-mo avg), NASDAQ delisting risk;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