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THC</w:t>
      </w:r>
      <w:r>
        <w:rPr>
          <w:rFonts w:ascii="Calibri" w:hAnsi="Calibri"/>
          <w:b/>
          <w:color w:val="1A2010"/>
          <w:sz w:val="40"/>
        </w:rPr>
        <w:t xml:space="preserve">  Tenet Healthcare Corporation</w:t>
      </w:r>
    </w:p>
    <w:p>
      <w:pPr>
        <w:spacing w:after="120"/>
      </w:pPr>
      <w:r>
        <w:rPr>
          <w:rFonts w:ascii="Calibri" w:hAnsi="Calibri"/>
          <w:b/>
          <w:color w:val="6E8450"/>
          <w:sz w:val="18"/>
        </w:rPr>
        <w:t>GROWTH SLEEVE · 2026-10-01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NYSE · United States</w:t>
      </w:r>
    </w:p>
    <w:p>
      <w:pPr>
        <w:spacing w:after="80"/>
      </w:pPr>
      <w:r>
        <w:rPr>
          <w:rFonts w:ascii="Calibri" w:hAnsi="Calibri"/>
          <w:b w:val="0"/>
          <w:color w:val="3A4A28"/>
          <w:sz w:val="20"/>
        </w:rPr>
        <w:t>Tenet Healthcare Corporation operates as a diversified healthcare services company through two segments: Hospital Operations &amp; Services and Ambulatory Care (USPI). As of June 2026, USPI held interests in 538 ambulatory surgery centers and 26 surgical hospitals across 37 states. Q2 2026 delivered $5.63B net operating revenue (up 6.8% YoY) with adjusted EBITDA of $1.3B (up 16.3% YoY). Full-year 2026 revenue guidance raised to $21.9B-$22.5B.</w:t>
      </w:r>
    </w:p>
    <w:p>
      <w:r>
        <w:rPr>
          <w:rFonts w:ascii="Calibri" w:hAnsi="Calibri"/>
          <w:b/>
          <w:color w:val="6E8450"/>
          <w:sz w:val="18"/>
        </w:rPr>
        <w:t>77,000 Employees · https://www.tenethealth.com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Tenet has executed a multi-year strategic transformation from a traditional hospital operator to an ambulatory care-focused platform, with USPI growing revenues from $4.5B to $5.1B+ in 2025 (up 13.8% YoY) and expanding to 538 ASCs across 37 states [1][2]. CEO Sutaria's strategy of divesting lower-margin hospital assets while deploying $300M+ annually on ASC acquisitions represents a significant business model pivot. AI Deployment (0/2): No evidence of AI-powered products generating external revenue or quantified AI-driven internal efficiency gains. Healthcare IT modernization is underway but specific AI deployment metrics are not publicly reported [3]. Market Share (2/2): USPI is one of the largest ambulatory surgery center operators in the United States, with dominant scale across 37 states and a proven ability to acquire assets and add value through in-network optimization and supply chain efficiencies [2]. Product Pipeline (1/2): CMS expansion of approved ASC procedures — including total joints and cardiac — provides a defined growth runway, and Tenet has signaled $250M annual M&amp;A pipeline for 2026 with focus on higher-acuity outpatient cases [2]. R&amp;D Intensity (0/1): Healthcare services companies have minimal R&amp;D spend; Tenet's innovation is operational and M&amp;A-driven rather than research-based.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Tenet's purpose centers on healthcare delivery organized around five ESG pillars including 'Meeting the Need,' emphasizing community health and patient access [4]. The mission is clear — delivering quality healthcare — but not distinctive among hospital operators and does not articulate a transformative vision beyond standard industry commitment to patient outcomes. Community Impact (1/2): As an operator of hospitals and 538+ ASCs serving communities across 37 states, Tenet provides essential healthcare infrastructure, and its ESG strategy includes community health programs, LED hospital retrofitting by 2030, and environmental commitments [4]. However, specific charitable giving dollar amounts were not quantified in public disclosures. Employee Retention (0/2): No specific employee retention metrics, voluntary turnover rates, or average tenure data available. The 77,000-employee organization operates in a high-turnover healthcare labor market without evidence of standout retention practices distinguishing Tenet from industry norms. Insider Buying (0/2): No evidence of meaningful net insider buying by CEO Sutaria or other executives using personal funds in the last 12 months. Corporate share repurchases ($1B+ in Q2 2026) reflect treasury strategy, not personal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THC's financial profile reflects strong profitability with ROE of 37.3% (score 1.0, 2x weight) and profit margin of 10.3% (score 0.51) [1][5]. Forward P/E of 12.1 is deeply discounted below the 20 target (score 1.0). D/E of 152.3% remains elevated above the 70% target but well below the 300% floor (score 0.64). Revenue grew 6.8% YoY (score 0.89) with an estimated 5-year CAGR of ~4.0% (score 0.60, 2x weight). PEG ratio of 1.79 scores 0.61 (2x weight). Daily dollar volume of ~$261M provides ample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Tenet Healthcare's strategic pivot to ambulatory care demonstrates operational flexibility, but the company's orientation toward financial engineering — aggressive leverage, debt-funded buybacks ($1B in Q2 alone), and portfolio optimization for quarterly earnings — reflects a finite-game mindset. The weak employee sentiment and lack of a distinctive Just Cause beyond standard healthcare delivery suggest the company plays to win each quarter rather than to build an enduring institution.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Tenet exists to provide healthcare services, which is inherently important, but the company does not articulate a distinctive Just Cause beyond operational excellence and shareholder returns [4]. The strategic narrative centers on portfolio optimization — divesting hospitals, acquiring ASCs for higher margins — rather than a vision of a future state that inspires sacrifice. 'Meeting the Need' is a CSR program, not a cause that shapes capital allocation. Sinek would note that Tenet's ambulatory care pivot is driven by margin optimization, not by a deeply held belief about how healthcare should be delivered.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sentiment indicates significant organizational trust challenges, with only 33% of employees recommending Tenet as a workplace and executive team rated in the bottom 15% of similar-sized companies [3]. Culture and values scored 2.6/5. The 77,000-person organization operates under intense cost pressure in a high-turnover healthcare labor market, with no evidence of distinctive trust-building practices or employee empowerment programs that differentiate Tenet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Tenet's competitive language focuses on 'sweeping Q2 outperformance,' market share capture through acquisitions, and financial metrics superiority [1]. No evidence of management acknowledging rival strengths (HCA Healthcare, Surgery Partners) or using competitive dynamics for genuine self-improvement. The M&amp;A-driven growth model is about consolidating competitors rather than learning from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multi-year pivot from hospital-centric operations to ambulatory care represents meaningful strategic evolution — USPI expanded to 538 ASCs across 37 states while the company divested lower-performing hospitals [2]. However, the transformation is incremental (gradual acquisitions and divestitures over a decade) rather than a bold reinvention, and was driven by margin optimization rather than a Just Cause demanding a new direction.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Sutaria committed to $250M annual ASC investment while divesting historically core hospital assets, sacrificing near-term revenue identity for higher-margin growth [2]. The decision to exit acute care assets — traditionally the identity of a hospital company — required conviction. However, the aggressive $1B quarterly buyback program and debt-funded capital return suggest financial engineering prioritized over long-term capability investment, and divestitures were arguably forced by margin erosion rather than proactive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Tenet Healthcare at 12.1x forward earnings offers value for a healthcare services platform executing a successful pivot toward higher-growth ambulatory care. USPI's 538 ASCs across 37 states generated $5.1B+ in 2025 revenue (up 13.8% YoY), and Q2 2026 adjusted EBITDA of $1.3B (up 16.3% YoY) with 26.7% margins demonstrates accelerating profitability [1][2]. CMS expansion of approved ASC procedures provides a secular tailwind, and the $250M annual M&amp;A pipeline positions Tenet to consolidate a fragmented market. ROE of 37.3% reflects strong capital efficiency, and the raised 2026 revenue guidance to $21.9B-$22.5B signals operational momentum [1][5].</w:t>
      </w:r>
    </w:p>
    <w:p>
      <w:pPr>
        <w:spacing w:after="120"/>
      </w:pPr>
      <w:r>
        <w:rPr>
          <w:rFonts w:ascii="Calibri" w:hAnsi="Calibri"/>
          <w:b w:val="0"/>
          <w:color w:val="3A4A28"/>
          <w:sz w:val="20"/>
        </w:rPr>
        <w:t>The bear case centers on leverage, employee challenges, and finite-game orientation. D/E of 152% with $13.2B total debt against $2.2B cash creates refinancing risk in a higher-rate environment, with the Altman Z-Score historically near the distress warning zone [5]. ACA coverage erosion is already affecting payer mix — Q2 2026 showed lower exchange admissions, and potential federal Medicaid cuts could further compress reimbursement. Employee dissatisfaction (33% recommend rate, executive team in bottom 15% of peers) creates recruitment and retention risk in a structurally tight healthcare labor market [3]. The aggressive $1B quarterly buyback program, while accretive to EPS, prioritizes financial engineering over balance sheet repair or workforce investment. PEG of 1.79 suggests the market is no longer pricing Tenet for growth stock-like earnings acceleration.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CMS expansion of approved ASC procedures (including total joints and cardiac) provides a multi-year secular tailwind for USPI's 538-center platform with $250M annual M&amp;A deployment [2]</w:t>
      </w:r>
    </w:p>
    <w:p>
      <w:pPr>
        <w:spacing w:before="40" w:after="40"/>
        <w:ind w:left="283"/>
      </w:pPr>
      <w:r>
        <w:rPr>
          <w:rFonts w:ascii="Calibri" w:hAnsi="Calibri"/>
          <w:b/>
          <w:color w:val="4A6B25"/>
          <w:sz w:val="20"/>
        </w:rPr>
        <w:t xml:space="preserve">2. </w:t>
      </w:r>
      <w:r>
        <w:rPr>
          <w:rFonts w:ascii="Calibri" w:hAnsi="Calibri"/>
          <w:b w:val="0"/>
          <w:color w:val="3A4A28"/>
          <w:sz w:val="20"/>
        </w:rPr>
        <w:t>Raised 2026 guidance to $21.9B-$22.5B revenue with 26.7% Q2 adjusted EBITDA margin demonstrates accelerating profitability from the ambulatory care mix shift [1]</w:t>
      </w:r>
    </w:p>
    <w:p>
      <w:pPr>
        <w:spacing w:before="40" w:after="40"/>
        <w:ind w:left="283"/>
      </w:pPr>
      <w:r>
        <w:rPr>
          <w:rFonts w:ascii="Calibri" w:hAnsi="Calibri"/>
          <w:b/>
          <w:color w:val="4A6B25"/>
          <w:sz w:val="20"/>
        </w:rPr>
        <w:t xml:space="preserve">3. </w:t>
      </w:r>
      <w:r>
        <w:rPr>
          <w:rFonts w:ascii="Calibri" w:hAnsi="Calibri"/>
          <w:b w:val="0"/>
          <w:color w:val="3A4A28"/>
          <w:sz w:val="20"/>
        </w:rPr>
        <w:t>USPI's 538 ASCs generating ~39% EBITDA margins versus ~18% for hospitals structurally improve consolidated profitability as outpatient care share increases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ACA coverage erosion and Medicaid policy changes — Q2 2026 showed lower exchange admissions impacting payer mix, and potential federal Medicaid cuts could compress reimbursement across both segments [1]</w:t>
      </w:r>
    </w:p>
    <w:p>
      <w:pPr>
        <w:spacing w:before="40" w:after="40"/>
        <w:ind w:left="283"/>
      </w:pPr>
      <w:r>
        <w:rPr>
          <w:rFonts w:ascii="Calibri" w:hAnsi="Calibri"/>
          <w:b/>
          <w:color w:val="4A6B25"/>
          <w:sz w:val="20"/>
        </w:rPr>
        <w:t xml:space="preserve">2. </w:t>
      </w:r>
      <w:r>
        <w:rPr>
          <w:rFonts w:ascii="Calibri" w:hAnsi="Calibri"/>
          <w:b w:val="0"/>
          <w:color w:val="3A4A28"/>
          <w:sz w:val="20"/>
        </w:rPr>
        <w:t>D/E of 152% with $13.2B total debt creates refinancing risk and limits strategic flexibility, while $1B+ quarterly buybacks prioritize financial engineering over balance sheet repair [5]</w:t>
      </w:r>
    </w:p>
    <w:p>
      <w:pPr>
        <w:spacing w:before="40" w:after="40"/>
        <w:ind w:left="283"/>
      </w:pPr>
      <w:r>
        <w:rPr>
          <w:rFonts w:ascii="Calibri" w:hAnsi="Calibri"/>
          <w:b/>
          <w:color w:val="4A6B25"/>
          <w:sz w:val="20"/>
        </w:rPr>
        <w:t xml:space="preserve">3. </w:t>
      </w:r>
      <w:r>
        <w:rPr>
          <w:rFonts w:ascii="Calibri" w:hAnsi="Calibri"/>
          <w:b w:val="0"/>
          <w:color w:val="3A4A28"/>
          <w:sz w:val="20"/>
        </w:rPr>
        <w:t>Employee dissatisfaction (33% recommend rate, executive team in bottom 15% of similar companies) creates recruitment and retention risk in a healthcare labor market facing structural shortages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Tenet's core business — operating hospitals and ambulatory surgery centers — involves physical-world healthcare delivery that AI structurally cannot displace [1][2]. Surgical procedures, patient care, hospital beds, and operating rooms require physical infrastructure, licensed clinicians, and hands-on medical expertise. Healthcare is heavily regulated with CMS reimbursement, state licensing, and credentialing requirements that create structural moats. AI may enhance diagnostics, administrative workflows, and clinical decision support, but these tools augment rather than replace the care delivery model. The ambulatory surgery center model is particularly immune — outpatient surgical procedures require physical facilities and human surgeons regardless of AI advances. AI Opportunity (0/1): No evidence of quantifiable AI-related external revenue. Tenet has not reported specific AI-driven products or services generating measurable revenue from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Tenet Healthcare Q2 2026 Earnings Release — Yahoo Finance, Becker's Hospital Review, Fierce Healthcare, Healthcare Dive, July 2026</w:t>
      </w:r>
    </w:p>
    <w:p>
      <w:pPr>
        <w:spacing w:before="20" w:after="20"/>
        <w:ind w:left="170"/>
      </w:pPr>
      <w:r>
        <w:rPr>
          <w:rFonts w:ascii="Calibri" w:hAnsi="Calibri"/>
          <w:b/>
          <w:color w:val="4A6B25"/>
          <w:sz w:val="15"/>
        </w:rPr>
        <w:t xml:space="preserve">2. </w:t>
      </w:r>
      <w:r>
        <w:rPr>
          <w:rFonts w:ascii="Calibri" w:hAnsi="Calibri"/>
          <w:b w:val="0"/>
          <w:color w:val="3A4A28"/>
          <w:sz w:val="17"/>
        </w:rPr>
        <w:t>Tenet Healthcare ASC/USPI Growth Strategy — Ambulatory Surgery Center News, Becker's Hospital Review, 2025-2026</w:t>
      </w:r>
    </w:p>
    <w:p>
      <w:pPr>
        <w:spacing w:before="20" w:after="20"/>
        <w:ind w:left="170"/>
      </w:pPr>
      <w:r>
        <w:rPr>
          <w:rFonts w:ascii="Calibri" w:hAnsi="Calibri"/>
          <w:b/>
          <w:color w:val="4A6B25"/>
          <w:sz w:val="15"/>
        </w:rPr>
        <w:t xml:space="preserve">3. </w:t>
      </w:r>
      <w:r>
        <w:rPr>
          <w:rFonts w:ascii="Calibri" w:hAnsi="Calibri"/>
          <w:b w:val="0"/>
          <w:color w:val="3A4A28"/>
          <w:sz w:val="17"/>
        </w:rPr>
        <w:t>Tenet Healthcare Employee Reviews — Glassdoor, Comparably,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Tenet Healthcare ESG Progress Report — Sustainalytics, SEC Filings, 2023-2024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THC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