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TH</w:t>
      </w:r>
      <w:r>
        <w:rPr>
          <w:rFonts w:ascii="Calibri" w:hAnsi="Calibri"/>
          <w:b/>
          <w:color w:val="1A2010"/>
          <w:sz w:val="40"/>
        </w:rPr>
        <w:t xml:space="preserve">  Target Hospitality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41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Specialty Business Services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The Woodlands, TX provider of vertically integrated modular workforce accommodations and hospitality services for energy, government and large infrastructure projects.</w:t>
      </w:r>
    </w:p>
    <w:p>
      <w:r>
        <w:rPr>
          <w:rFonts w:ascii="Calibri" w:hAnsi="Calibri"/>
          <w:b/>
          <w:color w:val="6E8450"/>
          <w:sz w:val="18"/>
        </w:rPr>
        <w:t>https://www.targethospitality.com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2/3: Workforce Hospitality Solutions grew 142% to about $36M in Q2 with 9,000+ contracted beds and $1.4B of multiyear contracts, a significant new revenue stream [1]. AI 0/2: customers include AI data center builds but no AI deployment found. Share 1/2 as a leading specialty lodging provider, pipeline 2/2 (&gt;$700M 2027 annualized revenue target), R&amp;D 0/1.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2/4: 'relentless care' for remote workforce communities is clear and service-oriented [2]. Community 1/2: Corporate Responsibility Report and ChooseGreen energy for 19 lodges [3]. Retention 0/2 (Glassdoor 3.2/5 not counted) and insider buying 0/2: no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mechanically (Growth sleeve). D/E 13.1% 1.0, revenue growth 38.7% 1.0, forward P/E 20.7 scores 0.98, ROE -9.8% (2x) and margin -10.8% score 0; 5yr CAGR and PEG unavailable and excluded. Weighted 2.98 of 6 gives 5. Liquidity floor clear: about $31.6M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Target Hospitality is executing a growth pivot but remains contract-cycle driven with a finite mindset.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caring for remote workforce communities is genuine but reads as service positioning, not a decades-validated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stable CEO Brad Archer with 57% approval, but 2.6/5 culture and 1.9/5 work-life balance on Glassdoor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rival-learning language.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pivoted from oil-and-gas and government lodging toward data center and infrastructure workforce housing, incrementally.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(1/2): invested in WHS expansion and new awards as legacy government and Permian demand shifted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Bull case: Q2 2026 revenue grew 39% to $85.5M and adjusted EBITDA rose more than 5x to $18.2M; full-year guidance was lifted to $410-420M revenue and $85-95M EBITDA, backed by $1.4B of new multiyear contracts and a &gt;$700M 2027 annualized revenue goal [1]. D/E is only 13%.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Bear case: GAAP profit margin is -10.8% and ROE -9.8%, at 20.7x forward earnings the shares price in delivery, and the business is lumpy, contract-dependent and exposed to customer concentration. Glassdoor culture (2.6/5) and a 1.9/5 work-life score point to retention strain during rapid ramp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Ramp of 9,000+ contracted beds toward &gt;$700M 2027 annualized revenue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Further WHS awards tied to data center and infrastructure buildouts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Guidance raises and margin expansion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Execution and capital intensity of bed deployments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Contract rollovers in legacy government and Permian segments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Persistent GAAP losses despite adjusted EBITDA growth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8/9: physical lodging for remote workforces cannot be displaced by AI, and AI data center and infrastructure buildouts are a demand tailwind [1]. AI Opportunity 0/1: no AI revenue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Target Hospitality Q2 2026 results and earnings call, Nasdaq / Yahoo Finance,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Glassdoor Target Hospitality reviews,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Target Hospitality 2023 Corporate Responsibility Report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