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TKC</w:t>
      </w:r>
      <w:r>
        <w:rPr>
          <w:rFonts w:ascii="Calibri" w:hAnsi="Calibri"/>
          <w:b/>
          <w:color w:val="1A2010"/>
          <w:sz w:val="40"/>
        </w:rPr>
        <w:t xml:space="preserve">  Turkcell Iletisim Hizmetleri A.S.</w:t>
      </w:r>
    </w:p>
    <w:p>
      <w:pPr>
        <w:spacing w:after="120"/>
      </w:pPr>
      <w:r>
        <w:rPr>
          <w:rFonts w:ascii="Calibri" w:hAnsi="Calibri"/>
          <w:b/>
          <w:color w:val="6E8450"/>
          <w:sz w:val="18"/>
        </w:rPr>
        <w:t>DIVIDEND SLEEVE · 2026-09-28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Turkey</w:t>
      </w:r>
    </w:p>
    <w:p>
      <w:pPr>
        <w:spacing w:after="80"/>
      </w:pPr>
      <w:r>
        <w:rPr>
          <w:rFonts w:ascii="Calibri" w:hAnsi="Calibri"/>
          <w:b w:val="0"/>
          <w:color w:val="3A4A28"/>
          <w:sz w:val="20"/>
        </w:rPr>
        <w:t>Turkcell is Turkey's leading mobile and digital services operator, serving approximately 40 million subscribers across GSM, fiber broadband, and digital platforms including Techfin (consumer finance), data center/cloud, and digital education. The company operates in Turkey, Belarus, Northern Cyprus, Germany, and the Netherlands. Turkcell posted hyperinflation-adjusted 2025 revenue of TRY 241.5B (+10.7% YoY) with EBITDA margin of 43.1%, and launched 5G services in 2026 after securing 160 MHz of spectrum for $1.2B. CEO Ali Taha Koc was appointed Chair of the GSMA Technology Group in July 2026.</w:t>
      </w:r>
    </w:p>
    <w:p>
      <w:r>
        <w:rPr>
          <w:rFonts w:ascii="Calibri" w:hAnsi="Calibri"/>
          <w:b/>
          <w:color w:val="6E8450"/>
          <w:sz w:val="18"/>
        </w:rPr>
        <w:t>20,000 Employees · https://www.turkcell.com.tr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Turkcell has executed meaningful diversification beyond pure telecom over the last 5 years, building out Techfin (consumer finance, +21.1% revenue growth in 2025), data center and cloud services (projected 18-20% growth in 2026), and digital education platforms [1]. The 5G launch in 2026, backed by a $1.2B spectrum acquisition (160 MHz in the October 2025 tender), represents a significant infrastructure pivot [5]. However, these are adjacency extensions rather than transformative reinventions of the business model. AI Deployment (1/2): Turkcell established AI Principles in 2020 and identified AI as one of four strategic focus areas. The company is developing proprietary large language models, integrating AI into vehicle devices, and partnering with Google Cloud for AI and cloud infrastructure in Turkey [2]. However, no specific AI-driven revenue or quantified cost savings have been disclosed. Market Share (1/2): Turkcell is Turkey's #1 mobile operator with approximately 40 million subscribers, holding clear market leadership in its home market, though this is a single-country position rather than global category dominance [1]. Product Pipeline (1/2): 5G rollout with $1.2B spectrum investment provides clear near-term visibility, and data center expansion targets 18-20% growth in 2026, but specific product launch dates and revenue projections beyond broad guidance are limited [5]. R&amp;D Intensity (0/1): As a telecom operator, R&amp;D spending is modest relative to technology peers, and no specific R&amp;D-to-revenue figures differentiate Turkcell from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Turkcell's stated purpose centers on bringing the joy and accessibility of technology to everyone in Turkey, connecting the company's work to digital inclusion and bridging the digital divide. The mission is clear and identifies a meaningful societal role but is not deeply distinctive from other emerging-market telecoms and lacks the transformative depth of a purpose-driven competitive advantage [2]. Community Impact (2/2): Turkcell was ranked the #1 telecom globally in LSEG ESG sustainability ratings and upgraded from BBB to A by MSCI in November 2024 [3]. The company meets 100% of electricity needs from renewable energy sources and is the first Turkish telecom to achieve carbon-neutral operations and to be listed in the FTSE4Good Emerging Markets Index — demonstrating specific, measurable community and environmental investment. Employee Retention (0/2): While the corporate culture is described as innovative, agile, and focused on digital technologies, no specific employee retention rates, average tenure data, or voluntary turnover metrics were identified. Insider Buying (0/2): No evidence of meaningful net insider buying by CEO Ali Taha Koc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Turkcell's balance sheet is well-managed with D/E of 68.5%, just under the 70% target, reflecting disciplined leverage for a capital-intensive telecom [4]. Forward P/E of 9.75x is deeply discounted, well below the 20x target, reflecting both cheap valuation and Turkey country risk. Payout ratio of 22.1% is conservative, supporting dividend sustainability. The primary weaknesses are ROE of 6.75% (well below 15% target), reflecting hyperinflation-adjusted equity base distortions under IAS 29, and net profit margin of 7.2% (vs 20% target), typical for telecoms with heavy depreciation and interest expense despite a strong 43.1% EBITDA margin [1]. Revenue growth YoY of 2.5% in USD-adjusted terms understates the 10.7% hyperinflation-adjusted local growth. Turkcell has paid dividends for 9 consecutive years (2017-2025) with modest recent growth. Liquidity clears the floor at ~$12M daily value traded.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Turkcell demonstrates a mixed infinite game posture — the company has a genuine purpose around digital inclusion and has shown flexibility in diversifying beyond pure telecom into Techfin, cloud, and digital services. CEO Ali Taha Koc's appointment as GSMA Technology Group Chair signals industry leadership ambitions. However, the company operates in a challenging macro environment (Turkish hyperinflation, political uncertainty) that can force short-term optimization, and the Just Cause lacks the transformative depth and multi-decade validation that characterize true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Turkcell's purpose of bringing digital technology access to all of Turkey and bridging the digital divide is genuine and has shaped strategic decisions around 5G investment, digital education, and Techfin financial inclusion services [2]. However, the cause reads more as a well-articulated mission than a transformative Just Cause in Sinek's framework — it is specific to Turkey, has not been tested through multi-decade crises or leadership transitions, and does not clearly differentiate from what any progressive telecom aspires to achieve.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Turkcell's culture is described as innovative, agile, and collaborative with a customer-centric approach [2]. CEO Koc's visibility as GSMA Technology Group Chair suggests confidence in external-facing leadership. The organization has maintained stability through Turkey's recent macroeconomic turmoil, and leadership continuity is evident. However, no specific data on employee tenure, voluntary turnover, or cultural practices demonstrating psychological safety were identified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Turkcell's competitive posture emphasizes self-improvement and industry collaboration rather than rival destruction. CEO Koc's appointment as GSMA Technology Group Chair — leading discussions on digital infrastructure, AI, and next-gen connectivity for the global telecom industry — demonstrates an orientation toward elevating the sector rather than purely defeating competitors like Vodafone Turkey and Turk Telekom [2]. The company's partnership with Google Cloud rather than insisting on purely proprietary solutions shows willingness to learn from and collaborate with leaders.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Turkcell has evolved from a pure mobile operator into a digital services platform — adding Techfin (consumer finance, +21.1% growth), data center/cloud services, digital education, and e-commerce capabilities [1]. The $1.2B 5G spectrum bet represents meaningful strategic commitment. However, these are incremental adjacency expansions rather than transformative reinventions — the core mobile telecom business remains the foundation, and the pivots were driven by market opportunity rather than a cause-driven reimagination of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$1.2B 5G spectrum acquisition represents a significant capital commitment that prioritizes long-term infrastructure capability over near-term earnings in a challenging macroeconomic environment [5]. Turkcell's continued investment in data centers, cloud, and Techfin diversification during Turkish hyperinflation and currency devaluation shows willingness to build for the future. However, these decisions align with industry trends rather than representing contrarian, costly bets against conventional wisdom.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Turkcell at 9.75x forward earnings offers deep value exposure to Turkey's leading telecom franchise with a 6.24% dividend yield and conservative 22% payout ratio. The company posted 10.7% hyperinflation-adjusted revenue growth to TRY 241.5B in 2025 with a 43.1% EBITDA margin, and the Techfin segment (+21.1%) and data center/cloud business (18-20% 2026 growth guidance) provide diversification beyond core telecom [1]. The $1.2B 5G spectrum investment positions Turkcell as the connectivity backbone for Turkey's digital transformation, and CEO Koc's GSMA Technology Group chairmanship elevates the company's global profile [2]. D/E of 68.5% reflects disciplined leverage, and the #1 LSEG ESG ranking among global telecoms provides governance credibility [3].</w:t>
      </w:r>
    </w:p>
    <w:p>
      <w:pPr>
        <w:spacing w:after="120"/>
      </w:pPr>
      <w:r>
        <w:rPr>
          <w:rFonts w:ascii="Calibri" w:hAnsi="Calibri"/>
          <w:b w:val="0"/>
          <w:color w:val="3A4A28"/>
          <w:sz w:val="20"/>
        </w:rPr>
        <w:t>The bear case centers on Turkey macro risk and structural profitability constraints. Net profit margin of 7.2% and ROE of 6.75% are weak, reflecting the capital intensity of telecom infrastructure combined with IAS 29 hyperinflation accounting distortions that inflate the equity base and depress returns [4]. Revenue growth of 2.5% in USD terms (despite 10.7% local growth) highlights persistent Turkish lira depreciation risk — TRY has lost roughly 80% of its value against USD over the past 5 years. The PEG ratio of 4.37x suggests the market sees limited growth in USD-adjusted terms. Political risk in Turkey (government influence on telecom policy, regulatory uncertainty) adds a persistent discount. Dividend history is volatile — while paid for 9 consecutive years, amounts swing dramatically year-to-year with no consistent growth trajectory. The 5G capex cycle ($1.2B spectrum plus network buildout) will pressure free cash flow over the next 2-3 years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5G network rollout in 2026-2027 following $1.2B spectrum acquisition, which could drive ARPU growth through premium 5G services and enable enterprise use cases (IoT, edge computing) for Turkey's industrial base [5]</w:t>
      </w:r>
    </w:p>
    <w:p>
      <w:pPr>
        <w:spacing w:before="40" w:after="40"/>
        <w:ind w:left="283"/>
      </w:pPr>
      <w:r>
        <w:rPr>
          <w:rFonts w:ascii="Calibri" w:hAnsi="Calibri"/>
          <w:b/>
          <w:color w:val="4A6B25"/>
          <w:sz w:val="20"/>
        </w:rPr>
        <w:t xml:space="preserve">2. </w:t>
      </w:r>
      <w:r>
        <w:rPr>
          <w:rFonts w:ascii="Calibri" w:hAnsi="Calibri"/>
          <w:b w:val="0"/>
          <w:color w:val="3A4A28"/>
          <w:sz w:val="20"/>
        </w:rPr>
        <w:t>Data center and cloud segment projected to grow 18-20% in 2026, potentially becoming a meaningful earnings contributor as AI workloads in Turkey grow and data sovereignty requirements favor local infrastructure [1]</w:t>
      </w:r>
    </w:p>
    <w:p>
      <w:pPr>
        <w:spacing w:before="40" w:after="40"/>
        <w:ind w:left="283"/>
      </w:pPr>
      <w:r>
        <w:rPr>
          <w:rFonts w:ascii="Calibri" w:hAnsi="Calibri"/>
          <w:b/>
          <w:color w:val="4A6B25"/>
          <w:sz w:val="20"/>
        </w:rPr>
        <w:t xml:space="preserve">3. </w:t>
      </w:r>
      <w:r>
        <w:rPr>
          <w:rFonts w:ascii="Calibri" w:hAnsi="Calibri"/>
          <w:b w:val="0"/>
          <w:color w:val="3A4A28"/>
          <w:sz w:val="20"/>
        </w:rPr>
        <w:t>Techfin segment revenue growth of 21.1% in 2025 demonstrates Turkcell's evolution into a digital financial services platform, with consumer lending, mobile payments, and insurance creating recurring, high-margin revenue streams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Turkish lira depreciation and hyperinflation (CPI consistently above 40%) erode USD-denominated returns for ADR holders, with the lira losing roughly 80% against the dollar over 5 years and continued currency weakness expected under Turkey's evolving monetary policy [4]</w:t>
      </w:r>
    </w:p>
    <w:p>
      <w:pPr>
        <w:spacing w:before="40" w:after="40"/>
        <w:ind w:left="283"/>
      </w:pPr>
      <w:r>
        <w:rPr>
          <w:rFonts w:ascii="Calibri" w:hAnsi="Calibri"/>
          <w:b/>
          <w:color w:val="4A6B25"/>
          <w:sz w:val="20"/>
        </w:rPr>
        <w:t xml:space="preserve">2. </w:t>
      </w:r>
      <w:r>
        <w:rPr>
          <w:rFonts w:ascii="Calibri" w:hAnsi="Calibri"/>
          <w:b w:val="0"/>
          <w:color w:val="3A4A28"/>
          <w:sz w:val="20"/>
        </w:rPr>
        <w:t>5G capex cycle ($1.2B spectrum + network buildout) will pressure free cash flow and may strain the balance sheet in an environment where borrowing costs in Turkey remain elevated, potentially threatening dividend sustainability [5]</w:t>
      </w:r>
    </w:p>
    <w:p>
      <w:pPr>
        <w:spacing w:before="40" w:after="40"/>
        <w:ind w:left="283"/>
      </w:pPr>
      <w:r>
        <w:rPr>
          <w:rFonts w:ascii="Calibri" w:hAnsi="Calibri"/>
          <w:b/>
          <w:color w:val="4A6B25"/>
          <w:sz w:val="20"/>
        </w:rPr>
        <w:t xml:space="preserve">3. </w:t>
      </w:r>
      <w:r>
        <w:rPr>
          <w:rFonts w:ascii="Calibri" w:hAnsi="Calibri"/>
          <w:b w:val="0"/>
          <w:color w:val="3A4A28"/>
          <w:sz w:val="20"/>
        </w:rPr>
        <w:t>Political and regulatory risk in Turkey, including government influence over telecom licensing, pricing regulations, and potential corporate governance concerns around the ownership structure involving Turkey Wealth Fund, could limit shareholder value realization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Turkcell's core business — mobile network infrastructure, fiber broadband, cell towers, spectrum, and physical data centers — is structurally immune to AI disruption. AI cannot replace telecommunications infrastructure; in fact, AI proliferation increases demand for connectivity, edge computing, and data center capacity [2]. The company's $1.2B 5G spectrum investment and expanding data center/cloud business position it as essential infrastructure for AI workloads in Turkey [5]. Telecom regulatory requirements, spectrum licensing, and physical network capex create insurmountable barriers to AI substitution. The only exposure is in commoditized digital services (content, customer service) where AI could compress margins. AI Opportunity (0/1): While Turkcell is developing proprietary LLMs and integrating AI across operations, no specific AI-driven revenue has been quantified. The Google Cloud AI partnership and AI-powered device initiatives remain pre-revenue or not separately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Turkcell FY2025 Results — TRY 241.5B Revenue (+10.7%), EBITDA TRY 104B (43.1% margin), Techfin +21.1%, Hurriyet Daily News / BusinessWire, March 2026</w:t>
      </w:r>
    </w:p>
    <w:p>
      <w:pPr>
        <w:spacing w:before="20" w:after="20"/>
        <w:ind w:left="170"/>
      </w:pPr>
      <w:r>
        <w:rPr>
          <w:rFonts w:ascii="Calibri" w:hAnsi="Calibri"/>
          <w:b/>
          <w:color w:val="4A6B25"/>
          <w:sz w:val="15"/>
        </w:rPr>
        <w:t xml:space="preserve">2. </w:t>
      </w:r>
      <w:r>
        <w:rPr>
          <w:rFonts w:ascii="Calibri" w:hAnsi="Calibri"/>
          <w:b w:val="0"/>
          <w:color w:val="3A4A28"/>
          <w:sz w:val="17"/>
        </w:rPr>
        <w:t>Turkcell CEO Ali Taha Koc — AI Strategy, GSMA Technology Group Chair Appointment, Google Cloud Partnership — Mobile World Live, RCR Wireless, BusinessWire, 2024-2026</w:t>
      </w:r>
    </w:p>
    <w:p>
      <w:pPr>
        <w:spacing w:before="20" w:after="20"/>
        <w:ind w:left="170"/>
      </w:pPr>
      <w:r>
        <w:rPr>
          <w:rFonts w:ascii="Calibri" w:hAnsi="Calibri"/>
          <w:b/>
          <w:color w:val="4A6B25"/>
          <w:sz w:val="15"/>
        </w:rPr>
        <w:t xml:space="preserve">3. </w:t>
      </w:r>
      <w:r>
        <w:rPr>
          <w:rFonts w:ascii="Calibri" w:hAnsi="Calibri"/>
          <w:b w:val="0"/>
          <w:color w:val="3A4A28"/>
          <w:sz w:val="17"/>
        </w:rPr>
        <w:t>Turkcell ESG — #1 Global Telecom in LSEG ESG Ratings, MSCI Upgrade to A, Carbon-Neutral Operations, FTSE4Good Listing — Barchart, Turkcell Sustainability Report, 2024-2025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TKC Key Statistics: Forward P/E 9.75x, ROE 6.75%, Profit Margin 7.2%, D/E 68.5%, Dividend Yield 6.24%,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Turkcell Q1 2026 Results — Revenue TRY 68.4B, 5G Launch, $1.2B Spectrum Acquisition — StockTitan, Investing.com,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