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TKO</w:t>
      </w:r>
      <w:r>
        <w:rPr>
          <w:rFonts w:ascii="Calibri" w:hAnsi="Calibri"/>
          <w:b/>
          <w:color w:val="1A2010"/>
          <w:sz w:val="40"/>
        </w:rPr>
        <w:t xml:space="preserve">  TKO Group Holdings, Inc.</w:t>
      </w:r>
    </w:p>
    <w:p>
      <w:pPr>
        <w:spacing w:after="120"/>
      </w:pPr>
      <w:r>
        <w:rPr>
          <w:rFonts w:ascii="Calibri" w:hAnsi="Calibri"/>
          <w:b/>
          <w:color w:val="6E8450"/>
          <w:sz w:val="18"/>
        </w:rPr>
        <w:t>GROWTH SLEEVE · 2026-10-01 · Inspire: 19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Entertainment · NYSE · United States</w:t>
      </w:r>
    </w:p>
    <w:p>
      <w:pPr>
        <w:spacing w:after="80"/>
      </w:pPr>
      <w:r>
        <w:rPr>
          <w:rFonts w:ascii="Calibri" w:hAnsi="Calibri"/>
          <w:b w:val="0"/>
          <w:color w:val="3A4A28"/>
          <w:sz w:val="20"/>
        </w:rPr>
        <w:t>TKO Group Holdings operates as a premium sports entertainment company through three segments: UFC (mixed martial arts), WWE (professional wrestling), and IMG (sports marketing/events). Formed in 2023 through the merger of UFC and WWE under Endeavor Group, TKO reported Q2 2026 revenue of $1.55B (up 18% YoY) with adjusted EBITDA of $649.9M (up 23% YoY). Full-year 2026 guidance raised to $5.775B-$5.825B revenue.</w:t>
      </w:r>
    </w:p>
    <w:p>
      <w:r>
        <w:rPr>
          <w:rFonts w:ascii="Calibri" w:hAnsi="Calibri"/>
          <w:b/>
          <w:color w:val="6E8450"/>
          <w:sz w:val="18"/>
        </w:rPr>
        <w:t>4,000 Employees · https://tkogrp.com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2023 merger of UFC and WWE under Endeavor created a combined sports entertainment platform that has unlocked cross-selling, shared infrastructure, and media rights leverage [1]. The integration of IMG in 2025 added diversified sports marketing revenue. UFC secured a transformative Paramount content distribution deal driving 29% Q2 revenue growth, validating the merger thesis [1]. AI Deployment (0/2): No evidence of AI-powered products or quantified AI-driven cost savings. TKO's business is fundamentally live entertainment content creation and distribution, with technology serving operational support. Market Share (2/2): UFC is the undisputed global leader in MMA with no comparable competitor, and WWE dominates professional wrestling entertainment worldwide [1][2]. Together, TKO controls two of the most valuable and irreplaceable live sports entertainment properties globally. Product Pipeline (1/2): UFC's Paramount deal provides multi-year media rights visibility with escalation clauses, and record FIFA World Cup hospitality sales through IMG demonstrate growing event pipeline [1]. However, TKO does not have next-generation product categories in development. R&amp;D Intensity (0/1): Entertainment company with minimal formal R&amp;D; content and production investment is operational rather than research-based.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TKO positions itself as a premium sports entertainment platform creating cultural moments and fan experiences. The brands themselves — UFC and WWE — carry deep cultural significance, but at the corporate level TKO was explicitly created as a financial optimization vehicle by Endeavor to maximize media rights value [2][3]. The purpose is clear but commercially driven, not articulating a transformative vision. Community Impact (1/2): WWE holds the record for most Make-A-Wish wishes granted by any organization, and its Tribute to the Troops military outreach is a genuine long-running community program [2]. UFC supports fighter development and global MMA accessibility. However, specific annual charitable giving dollar amounts were not quantified. Employee Retention (0/2): No specific employee retention metrics available for the ~4,000-person organization. While Dana White (25+ years at UFC) and Triple H (WWE creative leadership) provide extraordinary brand-level continuity, the forced resignation of Vince McMahon in January 2024 over sexual misconduct allegations created significant organizational disruption at WWE [4]. Insider Buying (0/2): No evidence of meaningful net insider buying by CEO Ari Emanuel or other executives using personal funds. Corporate buyback programs ($800M accelerated share repurchase in H1 2026) reflect treasury strategy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TKO's balance sheet strength is notable with D/E of just 59.2%, well below the 70% target (score 1.0) [5]. Revenue grew 18.2% YoY (score 1.0) with raised full-year guidance to $5.775B-$5.825B. However, GAAP metrics are suppressed by the complex Endeavor ownership structure: ROE of just 7.06% (score 0.47, 2x weight) and profit margin of 4.33% (score 0.22) reflect significant non-cash charges and minority interest flows rather than operational weakness — adjusted EBITDA margin is 42% [1][5]. Forward P/E of 38.4 is elevated (score 0.54), and PEG of 1.49 suggests moderate growth-adjusted valuation (score 0.76, 2x weight). Daily dollar volume of ~$204M provides ample liquidity. 5-year revenue CAGR excluded as TKO was formed in 2023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TKO owns two brands with extraordinary cultural longevity — WWE has operated since 1952 and UFC since 1993. However, the corporate entity TKO was created as a financial optimization vehicle by Endeavor to maximize media rights value, not in service of a Just Cause. The $375M UFC antitrust settlement for fighter pay suppression, Vince McMahon's forced resignation over sex trafficking allegations, and aggressive financial engineering ($800M accelerated buyback) reveal finite-game tendencies that prioritize extraction over endurance.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While UFC and WWE individually carry deep cultural significance — UFC grew MMA from underground to global mainstream sport, WWE has entertained families for 70+ years — TKO as a corporate entity was explicitly created by Endeavor as a financial vehicle to maximize media rights value and shareholder returns [2][3]. The Just Cause lives at the brand level (enabling combat sports culture, creating family entertainment) but is not articulated or operationalized at the corporate level, where strategy centers on EBITDA margins, buybacks, and media rights optimization.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Significant trust deficits at both the talent and organizational level. The $375M UFC antitrust settlement for fighter pay suppression — where fighters alleged UFC used monopoly power to depress compensation — reveals systemic exploitation of core talent rather than partnership [4]. Vince McMahon's forced January 2024 resignation over sex trafficking allegations created organizational trauma at WWE, and the allegations themselves suggest serious failures in corporate oversight and workplace safety [4]. While Dana White (25+ years at UFC) and Triple H provide brand-level stability, these institutional trust failures weigh heavily.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UFC operates as a near-monopoly in MMA with no comparable rival, and Dana White's competitive rhetoric is characteristically combative rather than learning-oriented. WWE dominates professional wrestling and views emerging competitors (AEW) through a finite market-share lens. TKO's language focuses on 'record revenue,' 'sweeping outperformance,' and market dominance rather than self-improvement driven by competitive respect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UFC-WWE merger represents meaningful structural transformation — combining two culturally distinct sports entertainment brands under one corporate structure and integrating IMG's sports marketing platform [1][2]. UFC's evolution from a controversial fringe sport to mainstream premium content property is one of the great business transformations in sports history. However, TKO itself is only three years old and has not been tested with the kind of existential choice that requires abandoning something profitable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Ari Emanuel demonstrated strategic courage by orchestrating the UFC-WWE merger, creating a new category of sports entertainment conglomerate that required billions in capital commitment [3]. The decision to settle the UFC antitrust lawsuit for $375M rather than prolonging litigation showed pragmatic leadership. However, the complex Endeavor ownership structure prioritizes financial engineering, and the $800M accelerated buyback alongside a 109% payout ratio suggests near-term shareholder return optimization over long-term capability investment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TKO Group Holdings owns two of the most irreplaceable live sports entertainment properties in the world — UFC and WWE — with Q2 2026 revenue of $1.55B growing 18% YoY and adjusted EBITDA of $649.9M at an exceptional 42% margin [1]. UFC's Paramount content distribution deal drove 29% segment revenue growth, and IMG's FIFA World Cup hospitality sales hit records. Full-year guidance raised to $5.775B-$5.825B revenue and $2.275B-$2.305B adjusted EBITDA, reflecting accelerating platform economics. The balance sheet is healthy at 59% D/E, and live sports content commands a scarcity premium in the AI-saturated streaming era — TKO's dual brands are among the last content categories that audiences must consume in real-time [1][5].</w:t>
      </w:r>
    </w:p>
    <w:p>
      <w:pPr>
        <w:spacing w:after="120"/>
      </w:pPr>
      <w:r>
        <w:rPr>
          <w:rFonts w:ascii="Calibri" w:hAnsi="Calibri"/>
          <w:b w:val="0"/>
          <w:color w:val="3A4A28"/>
          <w:sz w:val="20"/>
        </w:rPr>
        <w:t>The bear case centers on valuation, governance, and structural complexity. At 38.4x forward earnings with GAAP profit margin of just 4.33% and ROE of 7.06%, TKO is priced for flawless execution while significant value leaks through the complex Endeavor ownership structure, non-cash charges, and minority interest flows [5]. The payout ratio of 109% on the dividend is unsustainable without earnings growth. Governance risk remains elevated — Vince McMahon's sex trafficking scandal forced his January 2024 resignation, and the $375M UFC antitrust settlement revealed systemic fighter pay suppression that could resurface as a labor relations or regulatory issue [4]. Key-person dependence on Dana White (UFC) and specific fighter drawing power creates concentration risk. PEG of 1.49 suggests the market no longer prices TKO as a high-growth story at this valuation level.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Paramount content distribution deal driving 29% UFC revenue growth with multi-year escalation clauses providing sustained media rights acceleration [1]</w:t>
      </w:r>
    </w:p>
    <w:p>
      <w:pPr>
        <w:spacing w:before="40" w:after="40"/>
        <w:ind w:left="283"/>
      </w:pPr>
      <w:r>
        <w:rPr>
          <w:rFonts w:ascii="Calibri" w:hAnsi="Calibri"/>
          <w:b/>
          <w:color w:val="4A6B25"/>
          <w:sz w:val="20"/>
        </w:rPr>
        <w:t xml:space="preserve">2. </w:t>
      </w:r>
      <w:r>
        <w:rPr>
          <w:rFonts w:ascii="Calibri" w:hAnsi="Calibri"/>
          <w:b w:val="0"/>
          <w:color w:val="3A4A28"/>
          <w:sz w:val="20"/>
        </w:rPr>
        <w:t>Cross-platform UFC-WWE-IMG synergies driving adjusted EBITDA margin expansion to 42% with further improvement potential from shared sponsorship, venue, and distribution efficiencies [1]</w:t>
      </w:r>
    </w:p>
    <w:p>
      <w:pPr>
        <w:spacing w:before="40" w:after="40"/>
        <w:ind w:left="283"/>
      </w:pPr>
      <w:r>
        <w:rPr>
          <w:rFonts w:ascii="Calibri" w:hAnsi="Calibri"/>
          <w:b/>
          <w:color w:val="4A6B25"/>
          <w:sz w:val="20"/>
        </w:rPr>
        <w:t xml:space="preserve">3. </w:t>
      </w:r>
      <w:r>
        <w:rPr>
          <w:rFonts w:ascii="Calibri" w:hAnsi="Calibri"/>
          <w:b w:val="0"/>
          <w:color w:val="3A4A28"/>
          <w:sz w:val="20"/>
        </w:rPr>
        <w:t>Live sports scarcity premium intensifying as streaming platforms compete for must-see real-time content, positioning UFC and WWE as two of the most valuable media rights properties globally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profit margin of 4.33% and ROE of 7.06% mask significant value leakage through Endeavor ownership complexity, non-cash charges, and minority interest — forward P/E of 38.4x leaves limited margin of safety [5]</w:t>
      </w:r>
    </w:p>
    <w:p>
      <w:pPr>
        <w:spacing w:before="40" w:after="40"/>
        <w:ind w:left="283"/>
      </w:pPr>
      <w:r>
        <w:rPr>
          <w:rFonts w:ascii="Calibri" w:hAnsi="Calibri"/>
          <w:b/>
          <w:color w:val="4A6B25"/>
          <w:sz w:val="20"/>
        </w:rPr>
        <w:t xml:space="preserve">2. </w:t>
      </w:r>
      <w:r>
        <w:rPr>
          <w:rFonts w:ascii="Calibri" w:hAnsi="Calibri"/>
          <w:b w:val="0"/>
          <w:color w:val="3A4A28"/>
          <w:sz w:val="20"/>
        </w:rPr>
        <w:t>Governance risk from Vince McMahon sex trafficking scandal and $375M UFC antitrust fighter pay settlement signal systemic labor exploitation and corporate oversight failures that could resurface [4]</w:t>
      </w:r>
    </w:p>
    <w:p>
      <w:pPr>
        <w:spacing w:before="40" w:after="40"/>
        <w:ind w:left="283"/>
      </w:pPr>
      <w:r>
        <w:rPr>
          <w:rFonts w:ascii="Calibri" w:hAnsi="Calibri"/>
          <w:b/>
          <w:color w:val="4A6B25"/>
          <w:sz w:val="20"/>
        </w:rPr>
        <w:t xml:space="preserve">3. </w:t>
      </w:r>
      <w:r>
        <w:rPr>
          <w:rFonts w:ascii="Calibri" w:hAnsi="Calibri"/>
          <w:b w:val="0"/>
          <w:color w:val="3A4A28"/>
          <w:sz w:val="20"/>
        </w:rPr>
        <w:t>Key-person dependence on Dana White (UFC) and specific fighter drawing power creates concentration risk — loss of major stars or leadership changes could impact event revenue and brand equity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Live sports entertainment is arguably the most AI-immune business model in existence — UFC fights require real athletes competing in front of live audiences, and WWE matches demand physical performers creating unreplicable spectacle [1][2]. AI cannot replicate the charisma of a UFC champion, the drama of a WrestleMania main event, or the unpredictability of live competition. Media rights for live sports are the most sought-after content in the streaming era precisely because they are the last content category audiences consume in real-time, immune to AI-generated alternatives. No analyst has flagged AI as a disruption risk to combat sports or professional wrestling. AI-driven content creation elsewhere increases the scarcity value of authentic live entertainment. AI Opportunity (0/1): No quantifiable AI-specific revenue reported. While AI could enhance fan engagement, personalized content delivery, or production workflows, TKO has not disclosed AI-related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19</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TKO Group Holdings Q2 2026 Earnings Release — investor.tkogrp.com,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TKO Group Holdings Formation and Strategy — CNBC, Sportico, Deadline, 2023-2026</w:t>
      </w:r>
    </w:p>
    <w:p>
      <w:pPr>
        <w:spacing w:before="20" w:after="20"/>
        <w:ind w:left="170"/>
      </w:pPr>
      <w:r>
        <w:rPr>
          <w:rFonts w:ascii="Calibri" w:hAnsi="Calibri"/>
          <w:b/>
          <w:color w:val="4A6B25"/>
          <w:sz w:val="15"/>
        </w:rPr>
        <w:t xml:space="preserve">3. </w:t>
      </w:r>
      <w:r>
        <w:rPr>
          <w:rFonts w:ascii="Calibri" w:hAnsi="Calibri"/>
          <w:b w:val="0"/>
          <w:color w:val="3A4A28"/>
          <w:sz w:val="17"/>
        </w:rPr>
        <w:t>Endeavor Group / Ari Emanuel Leadership — Wikipedia, Britannica Money, SEC Filings, 2023-2026</w:t>
      </w:r>
    </w:p>
    <w:p>
      <w:pPr>
        <w:spacing w:before="20" w:after="20"/>
        <w:ind w:left="170"/>
      </w:pPr>
      <w:r>
        <w:rPr>
          <w:rFonts w:ascii="Calibri" w:hAnsi="Calibri"/>
          <w:b/>
          <w:color w:val="4A6B25"/>
          <w:sz w:val="15"/>
        </w:rPr>
        <w:t xml:space="preserve">4. </w:t>
      </w:r>
      <w:r>
        <w:rPr>
          <w:rFonts w:ascii="Calibri" w:hAnsi="Calibri"/>
          <w:b w:val="0"/>
          <w:color w:val="3A4A28"/>
          <w:sz w:val="17"/>
        </w:rPr>
        <w:t>Vince McMahon Sex Trafficking Scandal; UFC Antitrust Settlement — Wikipedia, SportsPro, 2024</w:t>
      </w:r>
    </w:p>
    <w:p>
      <w:pPr>
        <w:spacing w:before="20" w:after="20"/>
        <w:ind w:left="170"/>
      </w:pPr>
      <w:r>
        <w:rPr>
          <w:rFonts w:ascii="Calibri" w:hAnsi="Calibri"/>
          <w:b/>
          <w:color w:val="4A6B25"/>
          <w:sz w:val="15"/>
        </w:rPr>
        <w:t xml:space="preserve">5. </w:t>
      </w:r>
      <w:r>
        <w:rPr>
          <w:rFonts w:ascii="Calibri" w:hAnsi="Calibri"/>
          <w:b w:val="0"/>
          <w:color w:val="3A4A28"/>
          <w:sz w:val="17"/>
        </w:rPr>
        <w:t>Yahoo Finance — TKO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