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TLIH</w:t>
      </w:r>
      <w:r>
        <w:rPr>
          <w:rFonts w:ascii="Calibri" w:hAnsi="Calibri"/>
          <w:b/>
          <w:color w:val="1A2010"/>
          <w:sz w:val="40"/>
        </w:rPr>
        <w:t xml:space="preserve">  Ten-League International Holdings Limited</w:t>
      </w:r>
    </w:p>
    <w:p>
      <w:pPr>
        <w:spacing w:after="120"/>
      </w:pPr>
      <w:r>
        <w:rPr>
          <w:rFonts w:ascii="Calibri" w:hAnsi="Calibri"/>
          <w:b/>
          <w:color w:val="6E8450"/>
          <w:sz w:val="18"/>
        </w:rPr>
        <w:t>GROWTH SLEEVE · 2026-09-13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Industrial Distribution · NASDAQ · Singapore</w:t>
      </w:r>
    </w:p>
    <w:p>
      <w:pPr>
        <w:spacing w:after="80"/>
      </w:pPr>
      <w:r>
        <w:rPr>
          <w:rFonts w:ascii="Calibri" w:hAnsi="Calibri"/>
          <w:b w:val="0"/>
          <w:color w:val="3A4A28"/>
          <w:sz w:val="20"/>
        </w:rPr>
        <w:t>Ten-League International Holdings, founded in 1998 and headquartered in Singapore, sells and rents heavy equipment (foundation, hoist, excavation, and port machinery) and provides engineering consultancy to the port, construction, civil engineering, and underground foundation industries. The company has expanded into electric reach stackers and container handlers with swappable battery technology plus supporting charging infrastructure for port operators. Ten-League went public on Nasdaq on July 8, 2025 and executed a 1-for-10 reverse share split effective May 1, 2026 to attempt to maintain its listing.</w:t>
      </w:r>
    </w:p>
    <w:p>
      <w:r>
        <w:rPr>
          <w:rFonts w:ascii="Calibri" w:hAnsi="Calibri"/>
          <w:b/>
          <w:color w:val="6E8450"/>
          <w:sz w:val="18"/>
        </w:rPr>
        <w:t>70 Employees · https://ten-league.com.sg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Ten-League has extended beyond its legacy diesel heavy-equipment business into electric reach stackers and container handlers with swappable battery technology, plus port-side charging infrastructure — a meaningful new revenue line, though the core business (equipment sales/rental/consultancy) is unchanged [1][3]. AI Deployment (0/2): No evidence of AI product deployment or quantified internal AI savings was found. Market Share (1/2): Ten-League is a niche Singapore-based provider serving port and construction operators regionally, described as a meaningful participant but with no data suggesting category leadership [3]. Product Pipeline (1/2): The electrification and charging-infrastructure push is real but lacks specific launch dates or disclosed revenue visibility [3]. R&amp;D Intensity (0/1): No R&amp;D spending data relative to industry peers was found in available filings or coverage.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Ten-League's public messaging on sustainability and 'ethical practices' reads as generic ESG boilerplate — reducing environmental footprint, fostering an inclusive workplace, maintaining governance transparency — interchangeable with any small industrial company and not distinctively articulated [3]. Community Impact (0/2): No specific charitable programs, foundation, or dollar figures were found. Employee Retention (0/2): No turnover, tenure, or employee-sentiment data is publicly available for this 70-employee microcap [2]. Insider Buying (0/2): No evidence of net insider buying activity was found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HARD RULE TRIGGERED — LIQUIDITY FLOOR: Average daily volume of 831 shares x stock price of $5.75 = approximately $4,778 in average daily dollar volume, far below the $1,000,000 minimum required for IOWN to trade the position. Infrastructure score is forced to 0 regardless of other metrics [2]. On the underlying fundamentals, TLIH shows a low 3.75x P/E, D/E of 186%, ROE of 48.75%, and 30.2% FY2025 revenue growth, but these are moot given the illiquidity — reinforced by a March 2026 Nasdaq Staff Determination for non-compliance with the $1.00 minimum bid price rule and a subsequent 1-for-10 reverse split executed May 1, 2026 in an attempt to preserve the listing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Ten-League shows almost no evidence of infinite-game thinking: its public communications are generic ESG boilerplate rather than a lived Just Cause, recent strategic actions (reverse split, delisting-hearing appeal) are defensive reactions to an existential Nasdaq compliance threat rather than proactive courage, and no data exists on team culture or competitive philosophy. The one bright spot is a real, if incremental, diversification into electric port equipment.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Ten-League's public sustainability and governance language is generic and interchangeable with any small industrial distributor — it does not articulate a distinctive vision of a better future, and no evidence shows leadership referencing it in strategic decisions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turnover, engagement, or culture data is available for this 70-employee company; absent any negative signal, the company is treated as an ordinary, stable small organization rather than assumed to be high- or low-trust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commentary from management characterizing competitors or competitive strategy was found in available filings or coverage.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move into electric reach stackers, swappable battery container handlers, and charging infrastructure represents a real adjacent-market entry beyond the legacy diesel-equipment business, but it is an incremental extension of the existing equipment-sales/rental model rather than a transformative reinvention [3].</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company's recent major actions — requesting a Nasdaq Hearings Panel appeal and executing a 1-for-10 reverse split — are defensive responses to a delisting threat rather than proactive sacrifices of near-term results for long-term capability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Ten-League's FY2025 results show real operating momentum — revenue grew 30.2% to SGD 76.18M and net income grew 196.5% to SGD 5.59M, driven partly by a push into electric reach stackers, swappable-battery container handlers, and port charging infrastructure that diversifies the company beyond legacy diesel heavy equipment [1][3]. ROE of 48.75% and a 3.75x trailing P/E suggest the market may be significantly discounting the underlying business, and D/E of 186% is manageable relative to the return profile.</w:t>
      </w:r>
    </w:p>
    <w:p>
      <w:pPr>
        <w:spacing w:after="120"/>
      </w:pPr>
      <w:r>
        <w:rPr>
          <w:rFonts w:ascii="Calibri" w:hAnsi="Calibri"/>
          <w:b w:val="0"/>
          <w:color w:val="3A4A28"/>
          <w:sz w:val="20"/>
        </w:rPr>
        <w:t>The bear case is overwhelming and structural, not cyclical. Ten-League's average daily dollar volume is roughly $4,778 — a small fraction of the $1,000,000 IOWN requires to trade a position, triggering an automatic Infrastructure score of 0 under the liquidity floor rule [2]. Compounding this, Nasdaq issued a Staff Determination in March 2026 citing non-compliance with the $1.00 minimum bid price rule; the company's 1-for-10 reverse split on May 1, 2026 was a direct attempt to avoid delisting, and the outcome of its Nasdaq Hearings Panel appeal remains uncertain [4]. Inspiration evidence is essentially absent — no charitable programs, retention data, or insider buying were found — and revenue history is volatile (down 19.6% in FY2024 before rebounding 30.2% in FY2025), suggesting a lumpy, project-driven order book rather than durable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 favorable outcome at the Nasdaq Hearings Panel could remove the near-term delisting overhang, though it would not resolve the underlying illiquidity problem [4]</w:t>
      </w:r>
    </w:p>
    <w:p>
      <w:pPr>
        <w:spacing w:before="40" w:after="40"/>
        <w:ind w:left="283"/>
      </w:pPr>
      <w:r>
        <w:rPr>
          <w:rFonts w:ascii="Calibri" w:hAnsi="Calibri"/>
          <w:b/>
          <w:color w:val="4A6B25"/>
          <w:sz w:val="20"/>
        </w:rPr>
        <w:t xml:space="preserve">2. </w:t>
      </w:r>
      <w:r>
        <w:rPr>
          <w:rFonts w:ascii="Calibri" w:hAnsi="Calibri"/>
          <w:b w:val="0"/>
          <w:color w:val="3A4A28"/>
          <w:sz w:val="20"/>
        </w:rPr>
        <w:t>Continued adoption of electric reach stackers and swappable-battery container handlers by port operators could open a durable new equipment category beyond legacy diesel machinery [3]</w:t>
      </w:r>
    </w:p>
    <w:p>
      <w:pPr>
        <w:spacing w:before="40" w:after="40"/>
        <w:ind w:left="283"/>
      </w:pPr>
      <w:r>
        <w:rPr>
          <w:rFonts w:ascii="Calibri" w:hAnsi="Calibri"/>
          <w:b/>
          <w:color w:val="4A6B25"/>
          <w:sz w:val="20"/>
        </w:rPr>
        <w:t xml:space="preserve">3. </w:t>
      </w:r>
      <w:r>
        <w:rPr>
          <w:rFonts w:ascii="Calibri" w:hAnsi="Calibri"/>
          <w:b w:val="0"/>
          <w:color w:val="3A4A28"/>
          <w:sz w:val="20"/>
        </w:rPr>
        <w:t>FY2026 results validating the FY2025 revenue and earnings rebound (30.2% and 196.5% growth respectively) would support the low trailing P/E as undervaluation rather than a value trap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Average daily dollar volume of roughly $4,778 is over 99% below the $1,000,000 IOWN liquidity floor, making the stock effectively untradeable at any meaningful position size regardless of fundamentals [2]</w:t>
      </w:r>
    </w:p>
    <w:p>
      <w:pPr>
        <w:spacing w:before="40" w:after="40"/>
        <w:ind w:left="283"/>
      </w:pPr>
      <w:r>
        <w:rPr>
          <w:rFonts w:ascii="Calibri" w:hAnsi="Calibri"/>
          <w:b/>
          <w:color w:val="4A6B25"/>
          <w:sz w:val="20"/>
        </w:rPr>
        <w:t xml:space="preserve">2. </w:t>
      </w:r>
      <w:r>
        <w:rPr>
          <w:rFonts w:ascii="Calibri" w:hAnsi="Calibri"/>
          <w:b w:val="0"/>
          <w:color w:val="3A4A28"/>
          <w:sz w:val="20"/>
        </w:rPr>
        <w:t>Active Nasdaq delisting proceedings (Staff Determination for minimum bid price non-compliance, appeal pending before a Hearings Panel) create binary listing risk on top of the liquidity risk [4]</w:t>
      </w:r>
    </w:p>
    <w:p>
      <w:pPr>
        <w:spacing w:before="40" w:after="40"/>
        <w:ind w:left="283"/>
      </w:pPr>
      <w:r>
        <w:rPr>
          <w:rFonts w:ascii="Calibri" w:hAnsi="Calibri"/>
          <w:b/>
          <w:color w:val="4A6B25"/>
          <w:sz w:val="20"/>
        </w:rPr>
        <w:t xml:space="preserve">3. </w:t>
      </w:r>
      <w:r>
        <w:rPr>
          <w:rFonts w:ascii="Calibri" w:hAnsi="Calibri"/>
          <w:b w:val="0"/>
          <w:color w:val="3A4A28"/>
          <w:sz w:val="20"/>
        </w:rPr>
        <w:t>Revenue history is highly volatile (-19.6% FY2024, +30.3% FY2022, -2.3% FY2023) reflecting lumpy, project-based heavy-equipment demand rather than recurring revenue, making the FY2025 rebound difficult to extrapolate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Ten-League's business — selling and renting physical heavy equipment (foundation rigs, hoists, excavators, port machinery) and delivering hands-on engineering consultancy — involves physical-world operations that AI cannot substitute. No analyst commentary flags AI displacement risk for heavy-equipment distributors; if anything, port automation and electrification trends increase demand for the company's electric reach stackers and charging infrastructure [1][3]. AI Opportunity (0/1): The company generates no disclosed AI-related revenue; its 'innovation' is electrification/battery technology, not 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Ten-League International Holdings Ltd — Form 6-K Filings, FY2025-FY2026, SEC EDGAR</w:t>
      </w:r>
    </w:p>
    <w:p>
      <w:pPr>
        <w:spacing w:before="20" w:after="20"/>
        <w:ind w:left="170"/>
      </w:pPr>
      <w:r>
        <w:rPr>
          <w:rFonts w:ascii="Calibri" w:hAnsi="Calibri"/>
          <w:b/>
          <w:color w:val="4A6B25"/>
          <w:sz w:val="15"/>
        </w:rPr>
        <w:t xml:space="preserve">2. </w:t>
      </w:r>
      <w:r>
        <w:rPr>
          <w:rFonts w:ascii="Calibri" w:hAnsi="Calibri"/>
          <w:b w:val="0"/>
          <w:color w:val="3A4A28"/>
          <w:sz w:val="17"/>
        </w:rPr>
        <w:t>StockAnalysis.com — TLIH Statistics, Financials, and Company Profile,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Ten-League International Holdings company profile and investor relations site (ten-league.com.sg, tenleague.gcs-web.com)</w:t>
      </w:r>
    </w:p>
    <w:p>
      <w:pPr>
        <w:spacing w:before="20" w:after="20"/>
        <w:ind w:left="170"/>
      </w:pPr>
      <w:r>
        <w:rPr>
          <w:rFonts w:ascii="Calibri" w:hAnsi="Calibri"/>
          <w:b/>
          <w:color w:val="4A6B25"/>
          <w:sz w:val="15"/>
        </w:rPr>
        <w:t xml:space="preserve">4. </w:t>
      </w:r>
      <w:r>
        <w:rPr>
          <w:rFonts w:ascii="Calibri" w:hAnsi="Calibri"/>
          <w:b w:val="0"/>
          <w:color w:val="3A4A28"/>
          <w:sz w:val="17"/>
        </w:rPr>
        <w:t>TipRanks / The Globe and Mail / GlobeNewswire — Nasdaq delisting determination, hearing appeal, and 1-for-10 reverse share split coverage, March-May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