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TLRY</w:t>
      </w:r>
      <w:r>
        <w:rPr>
          <w:rFonts w:ascii="Calibri" w:hAnsi="Calibri"/>
          <w:b/>
          <w:color w:val="1A2010"/>
          <w:sz w:val="40"/>
        </w:rPr>
        <w:t xml:space="preserve">  Tilray Brands, Inc.</w:t>
      </w:r>
    </w:p>
    <w:p>
      <w:pPr>
        <w:spacing w:after="120"/>
      </w:pPr>
      <w:r>
        <w:rPr>
          <w:rFonts w:ascii="Calibri" w:hAnsi="Calibri"/>
          <w:b/>
          <w:color w:val="6E8450"/>
          <w:sz w:val="18"/>
        </w:rPr>
        <w:t>GROWTH SLEEVE · 2026-08-29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NASDAQ · United States</w:t>
      </w:r>
    </w:p>
    <w:p>
      <w:pPr>
        <w:spacing w:after="80"/>
      </w:pPr>
      <w:r>
        <w:rPr>
          <w:rFonts w:ascii="Calibri" w:hAnsi="Calibri"/>
          <w:b w:val="0"/>
          <w:color w:val="3A4A28"/>
          <w:sz w:val="20"/>
        </w:rPr>
        <w:t>Tilray Brands, Inc. is a global cannabis-lifestyle and consumer packaged goods company operating across four segments: cannabis (medical and recreational), beverage alcohol (SweetWater Brewing, Montauk Brewing, BrewDog), distribution, and wellness. Operations span more than 20 countries, with #1 cannabis market share in Canada by revenue and rapidly growing international medical cannabis business. Record FY2026 revenue of $915.5M. Headquartered in New York.</w:t>
      </w:r>
    </w:p>
    <w:p>
      <w:r>
        <w:rPr>
          <w:rFonts w:ascii="Calibri" w:hAnsi="Calibri"/>
          <w:b/>
          <w:color w:val="6E8450"/>
          <w:sz w:val="18"/>
        </w:rPr>
        <w:t>5,000 Employees · https://www.tilray.com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Tilray executed the transformative Aphria merger (2021), then acquired HEXO, SweetWater Brewing, Montauk Brewing, and BrewDog, converting a pure cannabis company into a diversified CPG platform generating record FY2026 revenue of $915.5M across four distinct segments [1][3]. The BrewDog acquisition alone adds $200M+ in annualized revenue and international beverage distribution. These moves opened significant new revenue streams, though profitability remains elusive. AI Deployment (0/2): No AI-powered products, no quantified AI-driven efficiencies, and no AI strategy articulated by management across any segment [4]. Market Share (1/2): #1 cannabis company in Canada by revenue with international medical cannabis revenue surging 34% YoY in FY2026 [1]. Tilray holds market leadership in German medical cannabis following legalization. However, the overall cannabis market remains fragmented, and Tilray is a minor player in the broader global beverage space. Product Pipeline (1/2): Launched Tilray Medical USA following federal cannabis rescheduling, opening the U.S. medical cannabis market with existing pharmaceutical-grade infrastructure [1]. FY2027 guidance targets $1B+ revenue with adjusted EBITDA of $68-75M [3]. However, specific next-generation product timelines beyond geographic expansion remain vague. R&amp;D Intensity (0/1): Cannabis and CPG industries carry inherently low R&amp;D spend; no evidence of above-average R&amp;D investment relative to sector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Tilray's stated mission is 'to be a leading premium lifestyle company with a house of brands and innovative products that inspire joy and create memorable experiences' [4]. This is boilerplate consumer brands language, interchangeable with any CPG company — it says nothing specific about cannabis, healthcare access, or any deeper societal purpose. Community Impact (1/2): Tilray supports Erie Shores Community Hospital in Leamington, provides compassionate-use cannabis programs for Canadian veterans, and donates to the Waterkeeper Alliance [5]. General corporate philanthropy aligned with operational footprint but without distinctive scale or quantified dollar amounts. Employee Retention (0/2): Glassdoor rating of 2.9/5 with only 33% of employees recommending the company; reviews describe CEO Irwin Simon as 'completely out of touch with real challenges at the execution level' and senior leadership as 'solely focused on deceiving the public on the company's potential value' [4]. Severely deteriorated culture signals. Insider Buying (1/2): CFO Carl Merton purchased 10,000 shares at $4.62 and CSO Denise Faltischek bought 2,500 shares at $4.78 in August 2026, signaling management conviction at historically low prices [7]. Director David Hopkinson sold $233K in April 2026, yielding a mixed but slightly positive insider signal.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notable strengths in balance sheet and revenue growth offset by catastrophic profitability. D/E of 21% is conservatively managed, well below the 70% target [5]. Revenue growth YoY of 11.5% (FY2025 $821.3M to FY2026 $915.5M) exceeds the 10% target, with all four segments contributing [1][3]. Five-year revenue CAGR of approximately 12.3% ($513M FY2021 to $915.5M FY2026) scores perfectly [6]. Forward P/E of 4.6 reflects aggressive analyst expectations for FY2027 profitability as revenue crosses $1B with adjusted EBITDA guidance of $68-75M [5]. However, ROE of -63.2% and net profit margin of -13.3% (FY2026 net loss of $121.4M on $915.5M revenue) both score zero — losses have decreased 94% from FY2025 impairment-heavy results but remain material [3][5]. Forward PEG unavailable due to negative trailing earnings, excluded from calculation. Liquidity floor cleared: 4.62M avg volume x $4.82 = $22.3M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Tilray under CEO Irwin Simon exhibits predominantly finite game characteristics. The strategy has been acquisitive growth — buying HEXO, SweetWater, Montauk, and BrewDog to build revenue scale rather than deepening capability in service of a clear purpose [1][3]. The severe disconnect between leadership messaging and employee experience (2.9/5 Glassdoor, 33% recommendation rate) suggests a company optimizing for quarterly headlines rather than building enduring organizational strength [4]. Record FY2026 revenue of $915.5M masks an organization that has never achieved profitability.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'Inspire joy and create memorable experiences' is a marketing tagline, not a Just Cause in Sinek's framework. It does not describe a future state worth sacrificing for, is not resilient across leadership transitions, and provides no strategic filter for decision-making. The cannabis legalization movement had genuine cause potential — patient access, criminal justice reform — but Tilray's diversification into beverages and distribution has diluted any connection to it. Sinek would ask 'would employees sacrifice to advance this cause?' — the 2.9/5 Glassdoor score suggests the answer is no [4].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data reveals a low-trust organization — 2.9/5 overall, 2.7/5 for culture and values, only 33% recommending the company [4]. Employee reviews describe senior leadership as 'completely out of touch with real challenges at the execution level' and a CEO who 'sits in New York and talks about how great everything is.' Frequent acquisitions (Aphria, HEXO, SweetWater, BrewDog) create organizational instability through multiple simultaneous culture integrations. This is the opposite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Tilray's competitive framing is finite — focused on being the 'world's largest cannabis company by revenue' and building scale through acquisition [1]. The strategy of buying competitors (HEXO) rather than learning from them reflects a market share accumulation mindset. No evidence in earnings calls or public communications of management acknowledging competitors' strengths or using rivalry constructively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Tilray has meaningfully evolved from a pure cannabis company into a diversified CPG platform spanning cannabis, craft beverages, international distribution, and wellness across 20+ countries [1]. The BrewDog acquisition adds international beverage scale and distribution infrastructure. However, these pivots appear driven by the need to diversify away from a disappointing Canadian recreational cannabis market rather than by principled commitment to a larger purpose — incremental portfolio construction, not a transformative reinvention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Simon made bold acquisition bets during a challenging cannabis market — the BrewDog deal, HEXO takeover, and launch of Tilray Medical USA following federal rescheduling each represent significant strategic commitments [1][3]. CFO Merton and CSO Faltischek buying shares at historically low prices in August 2026 signals personal financial conviction [7]. However, growth has been funded partly through share dilution (119M shares outstanding), and the company has not demonstrated willingness to exit unprofitable segments or sacrifice near-term revenue for strategic focus.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Tilray delivered record FY2026 revenue of $915.5M (up 11% YoY) with adjusted EBITDA of $61.1M, demonstrating the diversified CPG platform is generating top-line momentum across all four segments [1][3]. International medical cannabis revenue grew 34%, reinforcing European market leadership in Germany and beyond. The BrewDog acquisition adds $200M+ in annualized beverage revenue and global distribution reach. Management guides FY2027 revenue above $1B with adjusted EBITDA of $68-75M, suggesting improving operating leverage [3]. Net losses narrowed 94% from FY2025's impairment-heavy results to $121.4M in FY2026, showing a clear trajectory toward profitability. Forward P/E of 4.6 at $4.82 per share reflects a historically depressed valuation, with CFO and CSO buying shares in August 2026 [7]. Federal cannabis rescheduling opens a significant new U.S. medical market through the Tilray Medical USA platform. D/E of 21% provides balance sheet flexibility.</w:t>
      </w:r>
    </w:p>
    <w:p>
      <w:pPr>
        <w:spacing w:after="120"/>
      </w:pPr>
      <w:r>
        <w:rPr>
          <w:rFonts w:ascii="Calibri" w:hAnsi="Calibri"/>
          <w:b w:val="0"/>
          <w:color w:val="3A4A28"/>
          <w:sz w:val="20"/>
        </w:rPr>
        <w:t>The critical risk is that Tilray has never generated a GAAP profit despite nearly $1B in revenue — net margin remains -13.3%, ROE is -63.2%, and the company has consistently destroyed shareholder value through acquisitive growth funded by dilution [5]. The 2.9/5 Glassdoor rating and 33% employee recommendation rate signal an organizational culture problem that could impair execution as the company integrates BrewDog and expands into U.S. medical cannabis [4]. The stock trades at $4.82, down ~80% from its 52-week high of $23.20, suggesting the market is skeptical of the bull case despite record revenue. Share dilution risk persists — 119M shares outstanding reflects years of equity-funded acquisitions. The Canadian recreational cannabis market continues to face oversupply and pricing pressure, and the beverage alcohol segment faces secular headwinds from declining alcohol consumption among younger demographics. FY2027's $1B+ revenue target depends heavily on BrewDog integration and continued international cannabis expansion in a complex regulatory environment.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revenue guidance above $1B with adjusted EBITDA of $68-75M, representing the first fiscal year of billion-dollar-plus revenue and continued margin improvement toward potential GAAP breakeven [3]</w:t>
      </w:r>
    </w:p>
    <w:p>
      <w:pPr>
        <w:spacing w:before="40" w:after="40"/>
        <w:ind w:left="283"/>
      </w:pPr>
      <w:r>
        <w:rPr>
          <w:rFonts w:ascii="Calibri" w:hAnsi="Calibri"/>
          <w:b/>
          <w:color w:val="4A6B25"/>
          <w:sz w:val="20"/>
        </w:rPr>
        <w:t xml:space="preserve">2. </w:t>
      </w:r>
      <w:r>
        <w:rPr>
          <w:rFonts w:ascii="Calibri" w:hAnsi="Calibri"/>
          <w:b w:val="0"/>
          <w:color w:val="3A4A28"/>
          <w:sz w:val="20"/>
        </w:rPr>
        <w:t>U.S. medical cannabis expansion through Tilray Medical USA following federal rescheduling, opening a market significantly larger than Canada's recreational market with pharmaceutical-grade product infrastructure [1]</w:t>
      </w:r>
    </w:p>
    <w:p>
      <w:pPr>
        <w:spacing w:before="40" w:after="40"/>
        <w:ind w:left="283"/>
      </w:pPr>
      <w:r>
        <w:rPr>
          <w:rFonts w:ascii="Calibri" w:hAnsi="Calibri"/>
          <w:b/>
          <w:color w:val="4A6B25"/>
          <w:sz w:val="20"/>
        </w:rPr>
        <w:t xml:space="preserve">3. </w:t>
      </w:r>
      <w:r>
        <w:rPr>
          <w:rFonts w:ascii="Calibri" w:hAnsi="Calibri"/>
          <w:b w:val="0"/>
          <w:color w:val="3A4A28"/>
          <w:sz w:val="20"/>
        </w:rPr>
        <w:t>BrewDog integration delivering on $200M+ annualized revenue contribution with international distribution synergies, accelerating the transformation from cannabis company to global beverage and lifestyle platform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unprofitability despite record revenue — net loss of $121.4M on $915.5M FY2026 revenue with -63.2% ROE signals that acquisitive growth continues to destroy shareholder value rather than creating it [5]</w:t>
      </w:r>
    </w:p>
    <w:p>
      <w:pPr>
        <w:spacing w:before="40" w:after="40"/>
        <w:ind w:left="283"/>
      </w:pPr>
      <w:r>
        <w:rPr>
          <w:rFonts w:ascii="Calibri" w:hAnsi="Calibri"/>
          <w:b/>
          <w:color w:val="4A6B25"/>
          <w:sz w:val="20"/>
        </w:rPr>
        <w:t xml:space="preserve">2. </w:t>
      </w:r>
      <w:r>
        <w:rPr>
          <w:rFonts w:ascii="Calibri" w:hAnsi="Calibri"/>
          <w:b w:val="0"/>
          <w:color w:val="3A4A28"/>
          <w:sz w:val="20"/>
        </w:rPr>
        <w:t>Severely deteriorated employee culture with 2.9/5 Glassdoor rating and 33% recommendation rate, creating execution risk during the critical BrewDog integration and U.S. medical cannabis launch phases [4]</w:t>
      </w:r>
    </w:p>
    <w:p>
      <w:pPr>
        <w:spacing w:before="40" w:after="40"/>
        <w:ind w:left="283"/>
      </w:pPr>
      <w:r>
        <w:rPr>
          <w:rFonts w:ascii="Calibri" w:hAnsi="Calibri"/>
          <w:b/>
          <w:color w:val="4A6B25"/>
          <w:sz w:val="20"/>
        </w:rPr>
        <w:t xml:space="preserve">3. </w:t>
      </w:r>
      <w:r>
        <w:rPr>
          <w:rFonts w:ascii="Calibri" w:hAnsi="Calibri"/>
          <w:b w:val="0"/>
          <w:color w:val="3A4A28"/>
          <w:sz w:val="20"/>
        </w:rPr>
        <w:t>Stock down ~80% from 52-week high of $23.20 to $4.82, with 119M shares outstanding reflecting years of dilutive equity issuance — further M&amp;A could dilute remaining shareholders at depressed valuations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Tilray's core businesses — cannabis cultivation, beverage brewing, and physical product distribution — are inherently physical-world operations that AI cannot substitute [1]. Cannabis growing requires agricultural expertise, regulatory compliance across 20+ jurisdictions, and physical infrastructure; craft beverage production (SweetWater, Montauk, BrewDog) requires brewing facilities and established retail relationships. Distribution operations involve physical logistics across multiple countries. These segments are structurally protected from AI displacement. However, some administrative functions (sales optimization, supply chain, marketing) face partial AI automation risk, and commoditized cannabis products in the Canadian market face margin pressure that AI-enabled competitors could exacerbate. AI Opportunity (0/1): No AI-generated revenue or AI-powered products across any segment. Management has not articulated an AI strategy in earnings calls or investor presentations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-38</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Cannabis: Cultivation </w:t>
      </w:r>
      <w:r>
        <w:rPr>
          <w:rFonts w:ascii="Calibri" w:hAnsi="Calibri"/>
          <w:b w:val="0"/>
          <w:color w:val="9DAF88"/>
          <w:sz w:val="17"/>
        </w:rPr>
        <w:t xml:space="preserve">  ·  </w:t>
      </w:r>
      <w:r>
        <w:rPr>
          <w:rFonts w:ascii="Calibri" w:hAnsi="Calibri"/>
          <w:b/>
          <w:color w:val="DC2626"/>
          <w:sz w:val="17"/>
        </w:rPr>
        <w:t xml:space="preserve"> Cannabis: THC Retail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Tilray Brands Delivers Record Q3 Fiscal 2026 Results — Tilray IR, April 2026</w:t>
      </w:r>
    </w:p>
    <w:p>
      <w:pPr>
        <w:spacing w:before="20" w:after="20"/>
        <w:ind w:left="170"/>
      </w:pPr>
      <w:r>
        <w:rPr>
          <w:rFonts w:ascii="Calibri" w:hAnsi="Calibri"/>
          <w:b/>
          <w:color w:val="4A6B25"/>
          <w:sz w:val="15"/>
        </w:rPr>
        <w:t xml:space="preserve">2. </w:t>
      </w:r>
      <w:r>
        <w:rPr>
          <w:rFonts w:ascii="Calibri" w:hAnsi="Calibri"/>
          <w:b w:val="0"/>
          <w:color w:val="3A4A28"/>
          <w:sz w:val="17"/>
        </w:rPr>
        <w:t>Tilray Brands Q4 Fiscal 2026 Earnings Call — Yahoo Finance, July 2026</w:t>
      </w:r>
    </w:p>
    <w:p>
      <w:pPr>
        <w:spacing w:before="20" w:after="20"/>
        <w:ind w:left="170"/>
      </w:pPr>
      <w:r>
        <w:rPr>
          <w:rFonts w:ascii="Calibri" w:hAnsi="Calibri"/>
          <w:b/>
          <w:color w:val="4A6B25"/>
          <w:sz w:val="15"/>
        </w:rPr>
        <w:t xml:space="preserve">3. </w:t>
      </w:r>
      <w:r>
        <w:rPr>
          <w:rFonts w:ascii="Calibri" w:hAnsi="Calibri"/>
          <w:b w:val="0"/>
          <w:color w:val="3A4A28"/>
          <w:sz w:val="17"/>
        </w:rPr>
        <w:t>Tilray Brands Record Fiscal 2026 Revenue and FY2027 Guidance — Investing.com / Motley Fool, August 2026</w:t>
      </w:r>
    </w:p>
    <w:p>
      <w:pPr>
        <w:spacing w:before="20" w:after="20"/>
        <w:ind w:left="170"/>
      </w:pPr>
      <w:r>
        <w:rPr>
          <w:rFonts w:ascii="Calibri" w:hAnsi="Calibri"/>
          <w:b/>
          <w:color w:val="4A6B25"/>
          <w:sz w:val="15"/>
        </w:rPr>
        <w:t xml:space="preserve">4. </w:t>
      </w:r>
      <w:r>
        <w:rPr>
          <w:rFonts w:ascii="Calibri" w:hAnsi="Calibri"/>
          <w:b w:val="0"/>
          <w:color w:val="3A4A28"/>
          <w:sz w:val="17"/>
        </w:rPr>
        <w:t>Tilray Glassdoor Reviews and Mission Statement — Glassdoor / Indeed,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TLRY Key Statistics and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Tilray Brands Revenue History 2017-2026 — MacroTrends,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Tilray Insider Trading Activity — SEC Form 4 Filings / StockTitan,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