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TMHC</w:t>
      </w:r>
      <w:r>
        <w:rPr>
          <w:rFonts w:ascii="Calibri" w:hAnsi="Calibri"/>
          <w:b/>
          <w:color w:val="1A2010"/>
          <w:sz w:val="40"/>
        </w:rPr>
        <w:t xml:space="preserve">  Taylor Morrison Home Corporation</w:t>
      </w:r>
    </w:p>
    <w:p>
      <w:pPr>
        <w:spacing w:after="120"/>
      </w:pPr>
      <w:r>
        <w:rPr>
          <w:rFonts w:ascii="Calibri" w:hAnsi="Calibri"/>
          <w:b/>
          <w:color w:val="6E8450"/>
          <w:sz w:val="18"/>
        </w:rPr>
        <w:t>GROWTH SLEEVE · 2026-09-30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Residential Construction · NYSE · United States</w:t>
      </w:r>
    </w:p>
    <w:p>
      <w:pPr>
        <w:spacing w:after="80"/>
      </w:pPr>
      <w:r>
        <w:rPr>
          <w:rFonts w:ascii="Calibri" w:hAnsi="Calibri"/>
          <w:b w:val="0"/>
          <w:color w:val="3A4A28"/>
          <w:sz w:val="20"/>
        </w:rPr>
        <w:t>Taylor Morrison Home Corporation is a national homebuilder and land developer founded in 1936 and headquartered in Scottsdale, Arizona. The company designs, builds, and sells single-family and multi-family homes across multiple segments — entry-level, move-up, and resort lifestyle — under the Taylor Morrison and Esplanade brand names. CEO Sheryl Palmer has led since 2007 and holds a 96% Glassdoor CEO approval rating, ranking 19th among all large-company CEOs in the U.S. Q1 2026 EPS was $1.12 (beating estimates of $0.87 by $0.25), with full-year 2026 guidance of approximately 11,000 home closings. The company is named America's Most Trusted Builder for 11 consecutive years. Market cap approximately $5.6B.</w:t>
      </w:r>
    </w:p>
    <w:p>
      <w:r>
        <w:rPr>
          <w:rFonts w:ascii="Calibri" w:hAnsi="Calibri"/>
          <w:b/>
          <w:color w:val="6E8450"/>
          <w:sz w:val="18"/>
        </w:rPr>
        <w:t>https://www.taylormorrison.com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Taylor Morrison is a traditional homebuilder whose core business model — acquiring land, building homes, and selling them — has not fundamentally changed in the last 5 years [1]. No meaningful new product launches, market pivots, or business model transformations have been executed. The company continues to build the same types of homes (entry-level, move-up, resort lifestyle) through the same sales and construction processes. AI Deployment (0/2): No AI-powered products or services shipping to homebuyers. The company's Market Intelligence and Strategy team uses GIS technology for market analysis, but this is a data analytics tool, not an AI product generating revenue or quantified savings [2]. Market Share (1/2): Taylor Morrison is a meaningful top-10 national homebuilder, though not the category leader — D.R. Horton, Lennar, and NVR hold larger market shares [1]. The company differentiates through trust-based positioning and lifestyle branding (Esplanade) rather than volume leadership. Product Pipeline (0/2): No next-generation products with specific launch dates and revenue visibility. Homebuilding does not have a product pipeline in the traditional sense — the company builds homes to order and in communities. R&amp;D Intensity (0/1): Homebuilders do not have traditional R&amp;D departments. Taylor Morrison's innovation investment is embedded in design, construction methods, and customer experience rather than formal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Taylor Morrison's purpose positioning around being 'America's Most Trusted Builder' for 11 consecutive years reflects genuine intentionality — trust is not a generic claim but a validated competitive advantage earned through consistent customer survey results [1][2]. CEO Sheryl Palmer introduced TMLiving, an employer value proposition built on three tenets: Spirit and Pride, Health and Wellness, and Community and Giving, which connects the company's work to employee and community well-being beyond home sales. Palmer's 'Shoes Off' leadership style — making herself accessible and knowing team members by name — demonstrates authentic cultural intentionality. However, this purpose has not been tested through a major crisis or multi-decade leadership transition. Community Impact (1/2): Taylor Morrison partners with the National Wildlife Federation, certifying over 5,000 acres of wildlife habitat across its communities [3]. The company publishes annual Sustainability and Belonging reports detailing environmental and social initiatives. However, no specific dollar amounts for charitable giving or distinctive community investment programs were identified. Employee Retention (1/2): CEO Sheryl Palmer's 96% Glassdoor approval rating (ranked 19th among all large-company CEOs) and 'Great Place to Work' certification indicate above-average employee satisfaction [2]. However, mixed reviews cite cronyism and favoritism in some divisions, and no specific turnover or tenure data was found.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from web sources (yfinance data unavailable). Taylor Morrison demonstrates strong financial discipline with D/E of approximately 35%, well below the 70% target, on $2.1B debt against $6.1B shareholder equity [4]. Forward P/E of 10.43 is well below the 20x target, reflecting the cyclical discount applied to homebuilders. ROE of 11.11% is below the 15% target but generates partial credit. Estimated profit margin of approximately 8.5% scores partial credit against the 20% target. Revenue growth YoY is estimated at approximately 2-3% as the housing market normalizes from elevated levels. Q1 2026 EPS of $1.12 beat estimates of $0.87 by $0.25, demonstrating strong execution [1]. The primary drag is the Growth PEG metric — with forward PE higher than trailing PE (10.43 vs. 7-8.5), EPS may be declining, making PEG unavailable for scoring. The stock easily clears the liquidity floor with estimated daily dollar volume exceeding $50M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Taylor Morrison demonstrates a genuinely mixed infinite-game profile. CEO Sheryl Palmer's 19-year tenure, 'Shoes Off' leadership philosophy, and the TMLiving employer value proposition show real commitment to purpose and people. The 'Most Trusted Builder' positioning maintained for 11 consecutive years reflects consistency of purpose that Sinek values highly. However, the company operates in a fundamentally cyclical industry where survival requires finite-game quarterly execution, and there is no evidence of transformative strategic flexibility or courageous bets against consensus — Taylor Morrison builds homes the same way it has for decades.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Taylor Morrison's purpose around building trust with homebuyers is genuine, distinctive, and partially lived — earning 'America's Most Trusted Builder' for 11 consecutive years through actual customer survey results demonstrates that the purpose shapes behavior and outcomes [1]. Palmer's TMLiving (Spirit and Pride, Health and Wellness, Community and Giving) connects the company's work to employee and community well-being [2]. The purpose differentiates Taylor Morrison from peers who compete primarily on price or volume. However, 'trust' as a Just Cause has not been tested through a major industry disruption or leadership transition — Palmer has led for 19 years, and it's unclear whether the cause would survive her departure.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Palmer's 96% Glassdoor CEO approval rating (ranked 19th among all large-company CEOs), 'Great Place to Work' certification, and personal leadership style of visiting divisions and knowing team members by name provide above-average evidence of organizational trust [2]. The TMLiving framework explicitly prioritizes employee well-being. However, some Glassdoor reviews cite cronyism and favoritism at the divisional level, suggesting the trust culture may not be uniformly experienced across the organization. The overall signal is adequate to above-average trust without the exceptional evidence required for a top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Taylor Morrison's competitive positioning focuses on differentiation through trust and quality rather than price warfare or market share destruction [1]. The 'Most Trusted Builder' positioning is inherently about self-improvement — earning trust year after year requires consistently raising the bar rather than tearing down competitors. Palmer's leadership commentary focuses on team culture, customer experience, and community building rather than competitor displacement.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Taylor Morrison has been building homes since 1936 — 90 years of the same fundamental business model. While the company has expanded geographically, added brand segments (Esplanade for resort lifestyle), and evolved customer segmentation (entry-level, move-up, resort), the core business of acquiring land and building homes has not fundamentally changed [1]. There is no evidence of a transformative strategic pivot or willingness to abandon a core business in service of a higher cause. This is a company that does one thing very well, which Sinek would respect but would not score highly on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Taylor Morrison demonstrated some courage in maintaining investment in land acquisition and development through the 2020 COVID housing downturn and subsequent mortgage rate spikes in 2022-2023, continuing to build communities when some competitors pulled back [1]. Palmer's decision to brand around trust rather than price in a volume-driven industry represents strategic courage. However, there is no evidence of systematically sacrificing short-term earnings for transformative long-term capability — the company operates pragmatically within its industry's cyclical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Taylor Morrison is a well-managed homebuilder trading at an attractive 10.43x forward earnings with strong balance sheet discipline — D/E of 35% and $652.9M cash provide financial flexibility through housing cycles [4]. Q1 2026 EPS of $1.12 beat estimates by 29% ($0.87 consensus), demonstrating execution capability even as the housing market normalizes [1]. CEO Sheryl Palmer's 19-year tenure and 96% Glassdoor approval provide exceptional leadership continuity rare in the homebuilding sector. The 'Most Trusted Builder' brand, maintained for 11 consecutive years, creates customer acquisition advantages that reduce marketing costs and support premium pricing. Full-year 2026 guidance of 11,000 closings at 20% gross margin provides earnings visibility, and the Inspire Impact Score of 56 (ALIGNED) is a positive for faith-based investors [3].</w:t>
      </w:r>
    </w:p>
    <w:p>
      <w:pPr>
        <w:spacing w:after="120"/>
      </w:pPr>
      <w:r>
        <w:rPr>
          <w:rFonts w:ascii="Calibri" w:hAnsi="Calibri"/>
          <w:b w:val="0"/>
          <w:color w:val="3A4A28"/>
          <w:sz w:val="20"/>
        </w:rPr>
        <w:t>The bear case centers on housing cyclicality, earnings deceleration, and structural growth limitations. Forward PE of 10.43 exceeds the trailing PE of 7-8.5, implying analysts expect earnings to decline as the housing market cools from elevated levels — elevated mortgage rates continue to constrain affordability and reduce demand, particularly in the entry-level segment [1]. Taylor Morrison generates no dividend income and has limited innovation, with the homebuilding business model unchanged for decades. ROE of 11.11% is below the 15% target, and estimated profit margin of ~8.5% is well below the 20% target, reflecting the capital-intensive nature of homebuilding. Any recession or further mortgage rate increases could sharply reduce closings and compress margins, as demonstrated in previous housing downturns. The company's reliance on CEO Palmer (19 years) creates key-person risk — her eventual succession would be the first leadership transition in nearly two decades and could disrupt the trust-based culture that differentiates Taylor Morrison. Some Glassdoor reviews cite cronyism and favoritism, suggesting the culture may be more personality-dependent than system-driven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EPS beat of $1.12 vs. $0.87 consensus demonstrates execution capability; if subsequent quarters continue to beat expectations, the stock could re-rate from its cyclical discount to reflect consistent outperformance [1]</w:t>
      </w:r>
    </w:p>
    <w:p>
      <w:pPr>
        <w:spacing w:before="40" w:after="40"/>
        <w:ind w:left="283"/>
      </w:pPr>
      <w:r>
        <w:rPr>
          <w:rFonts w:ascii="Calibri" w:hAnsi="Calibri"/>
          <w:b/>
          <w:color w:val="4A6B25"/>
          <w:sz w:val="20"/>
        </w:rPr>
        <w:t xml:space="preserve">2. </w:t>
      </w:r>
      <w:r>
        <w:rPr>
          <w:rFonts w:ascii="Calibri" w:hAnsi="Calibri"/>
          <w:b w:val="0"/>
          <w:color w:val="3A4A28"/>
          <w:sz w:val="20"/>
        </w:rPr>
        <w:t>Any decline in mortgage rates would directly benefit homebuilder demand and affordability — Taylor Morrison's entry-level and move-up segments are rate-sensitive, and a 100bp decline could meaningfully expand the buyer pool</w:t>
      </w:r>
    </w:p>
    <w:p>
      <w:pPr>
        <w:spacing w:before="40" w:after="40"/>
        <w:ind w:left="283"/>
      </w:pPr>
      <w:r>
        <w:rPr>
          <w:rFonts w:ascii="Calibri" w:hAnsi="Calibri"/>
          <w:b/>
          <w:color w:val="4A6B25"/>
          <w:sz w:val="20"/>
        </w:rPr>
        <w:t xml:space="preserve">3. </w:t>
      </w:r>
      <w:r>
        <w:rPr>
          <w:rFonts w:ascii="Calibri" w:hAnsi="Calibri"/>
          <w:b w:val="0"/>
          <w:color w:val="3A4A28"/>
          <w:sz w:val="20"/>
        </w:rPr>
        <w:t>Strong balance sheet with D/E of 35% and $652.9M cash positions Taylor Morrison for opportunistic land acquisition during any market downturn, enabling counter-cyclical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cyclicality: elevated mortgage rates above 7% continue to constrain affordability, and any recession or further rate increases could reduce closings below the 11,000 full-year target and compress margins from the 20% gross margin guide [1]</w:t>
      </w:r>
    </w:p>
    <w:p>
      <w:pPr>
        <w:spacing w:before="40" w:after="40"/>
        <w:ind w:left="283"/>
      </w:pPr>
      <w:r>
        <w:rPr>
          <w:rFonts w:ascii="Calibri" w:hAnsi="Calibri"/>
          <w:b/>
          <w:color w:val="4A6B25"/>
          <w:sz w:val="20"/>
        </w:rPr>
        <w:t xml:space="preserve">2. </w:t>
      </w:r>
      <w:r>
        <w:rPr>
          <w:rFonts w:ascii="Calibri" w:hAnsi="Calibri"/>
          <w:b w:val="0"/>
          <w:color w:val="3A4A28"/>
          <w:sz w:val="20"/>
        </w:rPr>
        <w:t>Earnings deceleration signaled by forward PE (10.43) exceeding trailing PE (7-8.5), implying the market expects declining profitability as the housing market normalizes from post-pandemic elevated levels</w:t>
      </w:r>
    </w:p>
    <w:p>
      <w:pPr>
        <w:spacing w:before="40" w:after="40"/>
        <w:ind w:left="283"/>
      </w:pPr>
      <w:r>
        <w:rPr>
          <w:rFonts w:ascii="Calibri" w:hAnsi="Calibri"/>
          <w:b/>
          <w:color w:val="4A6B25"/>
          <w:sz w:val="20"/>
        </w:rPr>
        <w:t xml:space="preserve">3. </w:t>
      </w:r>
      <w:r>
        <w:rPr>
          <w:rFonts w:ascii="Calibri" w:hAnsi="Calibri"/>
          <w:b w:val="0"/>
          <w:color w:val="3A4A28"/>
          <w:sz w:val="20"/>
        </w:rPr>
        <w:t>Key-person risk: CEO Sheryl Palmer has led for 19 years and her leadership style is deeply personal ('Shoes Off,' knowing team members by name) — succession planning and the trust-based culture may not survive a leadership transition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Homebuilding is a fundamentally physical-world business that AI cannot displace — it requires land acquisition, permitting, physical construction, inspections, and local regulatory compliance, all of which are deeply location-specific and labor-intensive [1]. AI cannot build houses, navigate local zoning ordinances, or manage the physical supply chain of lumber, concrete, and labor. The homebuilding process is also deeply regulated by local building codes, environmental regulations, and real estate law, creating structural barriers to AI disruption. AI may enhance homebuilders' operations (design automation, customer matching, scheduling optimization) but these are efficiency gains, not existential threats. Analysts do not flag AI as a risk factor for homebuilders. AI Opportunity (0/1): Taylor Morrison does not generate revenue from AI products or services. The company uses GIS technology and data analytics for market intelligence but these are internal tools, not revenue-generating AI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Taylor Morrison Q1 2026 Earnings Release — EPS $1.12 (Beat $0.87 Est.), 2,200 Closings, Full-Year 2026 Guidance 11,000 Closings, 20% Gross Margin — PRNewswire, Taylor Morrison IR, April 2026</w:t>
      </w:r>
    </w:p>
    <w:p>
      <w:pPr>
        <w:spacing w:before="20" w:after="20"/>
        <w:ind w:left="170"/>
      </w:pPr>
      <w:r>
        <w:rPr>
          <w:rFonts w:ascii="Calibri" w:hAnsi="Calibri"/>
          <w:b/>
          <w:color w:val="4A6B25"/>
          <w:sz w:val="15"/>
        </w:rPr>
        <w:t xml:space="preserve">2. </w:t>
      </w:r>
      <w:r>
        <w:rPr>
          <w:rFonts w:ascii="Calibri" w:hAnsi="Calibri"/>
          <w:b w:val="0"/>
          <w:color w:val="3A4A28"/>
          <w:sz w:val="17"/>
        </w:rPr>
        <w:t>Taylor Morrison Leadership and Culture — CEO Sheryl Palmer (96% Glassdoor Approval, Ranked 19th Among Large-Company CEOs), 'Shoes Off' Leadership, TMLiving, America's Most Trusted Builder 11 Years — Glassdoor, PRNewswire</w:t>
      </w:r>
    </w:p>
    <w:p>
      <w:pPr>
        <w:spacing w:before="20" w:after="20"/>
        <w:ind w:left="170"/>
      </w:pPr>
      <w:r>
        <w:rPr>
          <w:rFonts w:ascii="Calibri" w:hAnsi="Calibri"/>
          <w:b/>
          <w:color w:val="4A6B25"/>
          <w:sz w:val="15"/>
        </w:rPr>
        <w:t xml:space="preserve">3. </w:t>
      </w:r>
      <w:r>
        <w:rPr>
          <w:rFonts w:ascii="Calibri" w:hAnsi="Calibri"/>
          <w:b w:val="0"/>
          <w:color w:val="3A4A28"/>
          <w:sz w:val="17"/>
        </w:rPr>
        <w:t>Taylor Morrison ESG and Sustainability — Annual Sustainability and Belonging Reports, National Wildlife Federation Partnership (5,000+ Acres Certified), DEI Recruitment Programs — Taylor Morrison Newsroom, 2020-2023</w:t>
      </w:r>
    </w:p>
    <w:p>
      <w:pPr>
        <w:spacing w:before="20" w:after="20"/>
        <w:ind w:left="170"/>
      </w:pPr>
      <w:r>
        <w:rPr>
          <w:rFonts w:ascii="Calibri" w:hAnsi="Calibri"/>
          <w:b/>
          <w:color w:val="4A6B25"/>
          <w:sz w:val="15"/>
        </w:rPr>
        <w:t xml:space="preserve">4. </w:t>
      </w:r>
      <w:r>
        <w:rPr>
          <w:rFonts w:ascii="Calibri" w:hAnsi="Calibri"/>
          <w:b w:val="0"/>
          <w:color w:val="3A4A28"/>
          <w:sz w:val="17"/>
        </w:rPr>
        <w:t>Taylor Morrison Financial Data — Forward PE 10.43x, D/E 35%, ROE 11.11%, Market Cap $5.61B, Cash $652.9M, Total Debt $2.1B — StockAnalysis, TradingEconomics, YCharts,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